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學員滿意度與學習評量報告</w:t>
      </w:r>
    </w:p>
    <w:p>
      <w:pPr>
        <w:jc w:val="center"/>
      </w:pPr>
      <w:r>
        <w:t>TTQS ONE 候選演練文件  •  R04  •  2026-10-28</w:t>
      </w:r>
    </w:p>
    <w:p>
      <w:pPr>
        <w:jc w:val="center"/>
      </w:pPr>
      <w:r>
        <w:rPr>
          <w:rFonts w:ascii="Microsoft JhengHei" w:hAnsi="Microsoft JhengHei" w:eastAsia="Microsoft JhengHei"/>
          <w:b/>
          <w:color w:val="A33B2B"/>
          <w:sz w:val="24"/>
        </w:rPr>
        <w:t>SAMPLE / SYNTHETIC  |  所有案例、數字、回覆、評分與行動均為虛構示範</w:t>
      </w:r>
    </w:p>
    <w:tbl>
      <w:tblPr>
        <w:tblW w:type="auto" w:w="0"/>
        <w:jc w:val="center"/>
        <w:tblLayout w:type="fixed"/>
        <w:tblLook w:firstColumn="1" w:firstRow="1" w:lastColumn="0" w:lastRow="0" w:noHBand="0" w:noVBand="1" w:val="04A0"/>
      </w:tblPr>
      <w:tblGrid>
        <w:gridCol w:w="7625"/>
        <w:gridCol w:w="7625"/>
      </w:tblGrid>
      <w:tr>
        <w:trPr>
          <w:cantSplit/>
          <w:tblHeader w:val="true"/>
        </w:trPr>
        <w:tc>
          <w:tcPr>
            <w:tcW w:type="dxa" w:w="5865"/>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文件控制項</w:t>
            </w:r>
          </w:p>
        </w:tc>
        <w:tc>
          <w:tcPr>
            <w:tcW w:type="dxa" w:w="9385"/>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內容</w:t>
            </w:r>
          </w:p>
        </w:tc>
      </w:tr>
      <w:tr>
        <w:trPr>
          <w:cantSplit/>
        </w:trPr>
        <w:tc>
          <w:tcPr>
            <w:tcW w:type="dxa" w:w="586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DOC_ID / REQUIREMENT_ID</w:t>
            </w:r>
          </w:p>
        </w:tc>
        <w:tc>
          <w:tcPr>
            <w:tcW w:type="dxa" w:w="938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0121 / I19-E09</w:t>
            </w:r>
          </w:p>
        </w:tc>
      </w:tr>
      <w:tr>
        <w:trPr>
          <w:cantSplit/>
        </w:trPr>
        <w:tc>
          <w:tcPr>
            <w:tcW w:type="dxa" w:w="586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官方要求原文</w:t>
            </w:r>
          </w:p>
        </w:tc>
        <w:tc>
          <w:tcPr>
            <w:tcW w:type="dxa" w:w="938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提出學員滿意度、考試測驗或心得報告（學習技能面）。</w:t>
            </w:r>
          </w:p>
        </w:tc>
      </w:tr>
      <w:tr>
        <w:trPr>
          <w:cantSplit/>
        </w:trPr>
        <w:tc>
          <w:tcPr>
            <w:tcW w:type="dxa" w:w="586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官方來源</w:t>
            </w:r>
          </w:p>
        </w:tc>
        <w:tc>
          <w:tcPr>
            <w:tcW w:type="dxa" w:w="938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official_source_0108_r11.pdf，第 8 頁；官方印刷序列 UNKNOWN_NOT_ASSERTED。</w:t>
            </w:r>
          </w:p>
        </w:tc>
      </w:tr>
      <w:tr>
        <w:trPr>
          <w:cantSplit/>
        </w:trPr>
        <w:tc>
          <w:tcPr>
            <w:tcW w:type="dxa" w:w="586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本文件用途</w:t>
            </w:r>
          </w:p>
        </w:tc>
        <w:tc>
          <w:tcPr>
            <w:tcW w:type="dxa" w:w="938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示範形成學員滿意度、技能評量及反思報告；工具與門檻為示範設計，不是官方格式或協會核定規則。</w:t>
            </w:r>
          </w:p>
        </w:tc>
      </w:tr>
      <w:tr>
        <w:trPr>
          <w:cantSplit/>
        </w:trPr>
        <w:tc>
          <w:tcPr>
            <w:tcW w:type="dxa" w:w="586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真實證據</w:t>
            </w:r>
          </w:p>
        </w:tc>
        <w:tc>
          <w:tcPr>
            <w:tcW w:type="dxa" w:w="938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本工作未提供；REAL EVIDENCE NOT PROVIDED。</w:t>
            </w:r>
          </w:p>
        </w:tc>
      </w:tr>
      <w:tr>
        <w:trPr>
          <w:cantSplit/>
        </w:trPr>
        <w:tc>
          <w:tcPr>
            <w:tcW w:type="dxa" w:w="586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正式接受</w:t>
            </w:r>
          </w:p>
        </w:tc>
        <w:tc>
          <w:tcPr>
            <w:tcW w:type="dxa" w:w="938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NOT_GRANTED；候選不代表協會正式核准、真實績效或服務資格。</w:t>
            </w:r>
          </w:p>
        </w:tc>
      </w:tr>
      <w:tr>
        <w:trPr>
          <w:cantSplit/>
        </w:trPr>
        <w:tc>
          <w:tcPr>
            <w:tcW w:type="dxa" w:w="586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跨文件隔離</w:t>
            </w:r>
          </w:p>
        </w:tc>
        <w:tc>
          <w:tcPr>
            <w:tcW w:type="dxa" w:w="938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0120/I19-E08 與 0122/I19-E10 各有獨立用途；本文件不借用其數字、樣本或案例。</w:t>
            </w:r>
          </w:p>
        </w:tc>
      </w:tr>
    </w:tbl>
    <w:p>
      <w:pPr>
        <w:spacing w:after="20"/>
      </w:pPr>
    </w:p>
    <w:p>
      <w:r>
        <w:rPr>
          <w:rFonts w:ascii="Microsoft JhengHei" w:hAnsi="Microsoft JhengHei" w:eastAsia="Microsoft JhengHei"/>
          <w:b/>
          <w:sz w:val="21"/>
        </w:rPr>
        <w:t>閱讀指引</w:t>
      </w:r>
      <w:r>
        <w:rPr>
          <w:rFonts w:ascii="Microsoft JhengHei" w:hAnsi="Microsoft JhengHei" w:eastAsia="Microsoft JhengHei"/>
          <w:b w:val="0"/>
          <w:sz w:val="21"/>
        </w:rPr>
        <w:t xml:space="preserve"> 本報告先界定官方要求與 SAMPLE 範圍，再提供可操作的問卷與技能評量工具、合成逐筆資料、分母與算式、解讀限制、改善行動及逐項替換清冊。遇到資料缺漏、未核准門檻或無權來源時，依各節標示 HOLD；不得把示範值改寫成 REAL。</w:t>
      </w:r>
    </w:p>
    <w:p>
      <w:r>
        <w:br w:type="page"/>
      </w:r>
    </w:p>
    <w:p>
      <w:pPr>
        <w:pStyle w:val="Heading1"/>
      </w:pPr>
      <w:r>
        <w:rPr>
          <w:rFonts w:ascii="Microsoft JhengHei" w:hAnsi="Microsoft JhengHei" w:eastAsia="Microsoft JhengHei"/>
          <w:b w:val="0"/>
          <w:sz w:val="30"/>
        </w:rPr>
        <w:t>1. 一頁式使用卡（One-Page Executive Use Card）</w:t>
      </w:r>
    </w:p>
    <w:tbl>
      <w:tblPr>
        <w:tblW w:type="auto" w:w="0"/>
        <w:jc w:val="center"/>
        <w:tblLayout w:type="fixed"/>
        <w:tblLook w:firstColumn="1" w:firstRow="1" w:lastColumn="0" w:lastRow="0" w:noHBand="0" w:noVBand="1" w:val="04A0"/>
      </w:tblPr>
      <w:tblGrid>
        <w:gridCol w:w="7625"/>
        <w:gridCol w:w="7625"/>
      </w:tblGrid>
      <w:tr>
        <w:trPr>
          <w:cantSplit/>
          <w:tblHeader w:val="true"/>
        </w:trPr>
        <w:tc>
          <w:tcPr>
            <w:tcW w:type="dxa" w:w="4236"/>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項目欄位</w:t>
            </w:r>
          </w:p>
        </w:tc>
        <w:tc>
          <w:tcPr>
            <w:tcW w:type="dxa" w:w="11014"/>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規範說明與運作定義</w:t>
            </w:r>
          </w:p>
        </w:tc>
      </w:tr>
      <w:tr>
        <w:trPr>
          <w:cantSplit/>
        </w:trPr>
        <w:tc>
          <w:tcPr>
            <w:tcW w:type="dxa" w:w="423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文件名稱與定位</w:t>
            </w:r>
          </w:p>
        </w:tc>
        <w:tc>
          <w:tcPr>
            <w:tcW w:type="dxa" w:w="11014"/>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《學員滿意度與學習評量報告》（DOC_ID: 0121 / REQUIREMENT_ID: I19-E09）</w:t>
            </w:r>
            <w:r>
              <w:br/>
            </w:r>
            <w:r>
              <w:rPr>
                <w:rFonts w:ascii="Microsoft JhengHei" w:hAnsi="Microsoft JhengHei" w:eastAsia="Microsoft JhengHei"/>
                <w:b w:val="0"/>
                <w:sz w:val="19"/>
              </w:rPr>
              <w:t>本文件為 TTQS 評核體系中針對「學習技能面」所建構之實證分析報告，專注於柯氏評估模式（Kirkpatrick Model）之第一層次（反應層次／滿意度）與第二層次（學習層次／技能實作評量與心得反思）。</w:t>
            </w:r>
          </w:p>
        </w:tc>
      </w:tr>
      <w:tr>
        <w:trPr>
          <w:cantSplit/>
        </w:trPr>
        <w:tc>
          <w:tcPr>
            <w:tcW w:type="dxa" w:w="423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主要閱讀對象</w:t>
            </w:r>
          </w:p>
        </w:tc>
        <w:tc>
          <w:tcPr>
            <w:tcW w:type="dxa" w:w="11014"/>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外部 TTQS 評核委員、協會授權之訓練管理人員（依正式權責文件確認）、培訓行政主管、授課講師及教學評量專員。</w:t>
            </w:r>
          </w:p>
        </w:tc>
      </w:tr>
      <w:tr>
        <w:trPr>
          <w:cantSplit/>
        </w:trPr>
        <w:tc>
          <w:tcPr>
            <w:tcW w:type="dxa" w:w="423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報告產出時機</w:t>
            </w:r>
          </w:p>
        </w:tc>
        <w:tc>
          <w:tcPr>
            <w:tcW w:type="dxa" w:w="11014"/>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建議作業節點（SAMPLE 程序，非已發生紀錄）：結訓當日完成問卷與技能評分；結訓後 3 個工作日內完成資料編碼、雙人核對、統計重算、反思摘要及改善方案草擬。</w:t>
            </w:r>
          </w:p>
        </w:tc>
      </w:tr>
      <w:tr>
        <w:trPr>
          <w:cantSplit/>
        </w:trPr>
        <w:tc>
          <w:tcPr>
            <w:tcW w:type="dxa" w:w="423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必要輸入要件</w:t>
            </w:r>
          </w:p>
        </w:tc>
        <w:tc>
          <w:tcPr>
            <w:tcW w:type="dxa" w:w="11014"/>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 以代碼化方式回收、可與技能評量連結的「學員滿意度調查問卷」（含 10 題核心題目及開放題）。</w:t>
            </w:r>
            <w:r>
              <w:br/>
            </w:r>
            <w:r>
              <w:rPr>
                <w:rFonts w:ascii="Microsoft JhengHei" w:hAnsi="Microsoft JhengHei" w:eastAsia="Microsoft JhengHei"/>
                <w:b w:val="0"/>
                <w:sz w:val="19"/>
              </w:rPr>
              <w:t>2. 實作技能前測（Pre-test）與後測（Post-test）評分檢核表（5 項具體行為指標，總分 100 分）。</w:t>
            </w:r>
            <w:r>
              <w:br/>
            </w:r>
            <w:r>
              <w:rPr>
                <w:rFonts w:ascii="Microsoft JhengHei" w:hAnsi="Microsoft JhengHei" w:eastAsia="Microsoft JhengHei"/>
                <w:b w:val="0"/>
                <w:sz w:val="19"/>
              </w:rPr>
              <w:t>3. 學員心得反思回饋單（去識別化文本）。</w:t>
            </w:r>
            <w:r>
              <w:br/>
            </w:r>
            <w:r>
              <w:rPr>
                <w:rFonts w:ascii="Microsoft JhengHei" w:hAnsi="Microsoft JhengHei" w:eastAsia="Microsoft JhengHei"/>
                <w:b w:val="0"/>
                <w:sz w:val="19"/>
              </w:rPr>
              <w:t>4. 課程簽到退紀錄與應試名冊（用以核對應收／實收／有效樣本母體）。</w:t>
            </w:r>
          </w:p>
        </w:tc>
      </w:tr>
      <w:tr>
        <w:trPr>
          <w:cantSplit/>
        </w:trPr>
        <w:tc>
          <w:tcPr>
            <w:tcW w:type="dxa" w:w="423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核心產出成果</w:t>
            </w:r>
          </w:p>
        </w:tc>
        <w:tc>
          <w:tcPr>
            <w:tcW w:type="dxa" w:w="11014"/>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 滿意度各題項平均數、正向滿意率（4–5 分比例）與整體滿意度指標。</w:t>
            </w:r>
            <w:r>
              <w:br/>
            </w:r>
            <w:r>
              <w:rPr>
                <w:rFonts w:ascii="Microsoft JhengHei" w:hAnsi="Microsoft JhengHei" w:eastAsia="Microsoft JhengHei"/>
                <w:b w:val="0"/>
                <w:sz w:val="19"/>
              </w:rPr>
              <w:t>2. 技能前後測得分差異分析（成對樣本進步幅度）、各題項通過率與技能掌握度落點。</w:t>
            </w:r>
            <w:r>
              <w:br/>
            </w:r>
            <w:r>
              <w:rPr>
                <w:rFonts w:ascii="Microsoft JhengHei" w:hAnsi="Microsoft JhengHei" w:eastAsia="Microsoft JhengHei"/>
                <w:b w:val="0"/>
                <w:sz w:val="19"/>
              </w:rPr>
              <w:t>3. 質性反思焦點摘要與反應層／學習層交叉比對分析。</w:t>
            </w:r>
            <w:r>
              <w:br/>
            </w:r>
            <w:r>
              <w:rPr>
                <w:rFonts w:ascii="Microsoft JhengHei" w:hAnsi="Microsoft JhengHei" w:eastAsia="Microsoft JhengHei"/>
                <w:b w:val="0"/>
                <w:sz w:val="19"/>
              </w:rPr>
              <w:t>4. 針對落後技能題項與滿意度低分項目之閉環改善行動方案（CAPA）。</w:t>
            </w:r>
          </w:p>
        </w:tc>
      </w:tr>
      <w:tr>
        <w:trPr>
          <w:cantSplit/>
        </w:trPr>
        <w:tc>
          <w:tcPr>
            <w:tcW w:type="dxa" w:w="423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當前狀態標記</w:t>
            </w:r>
          </w:p>
        </w:tc>
        <w:tc>
          <w:tcPr>
            <w:tcW w:type="dxa" w:w="11014"/>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【SAMPLE / SYNTHETIC】全案數據為評核標準化推演範例</w:t>
            </w:r>
            <w:r>
              <w:br/>
            </w:r>
            <w:r>
              <w:rPr>
                <w:rFonts w:ascii="Microsoft JhengHei" w:hAnsi="Microsoft JhengHei" w:eastAsia="Microsoft JhengHei"/>
                <w:b w:val="0"/>
                <w:sz w:val="19"/>
              </w:rPr>
              <w:t>本報告所載之課程名稱（社區志願服務關懷與基礎實作技能培訓）、學員編號（P01–P10）、問卷填答值、前後測分數及質性心得，均為完整之虛擬合成數據，旨在向評核委員展示規範所要求之數據結構、勾稽公式與分析邏輯。</w:t>
            </w:r>
          </w:p>
        </w:tc>
      </w:tr>
      <w:tr>
        <w:trPr>
          <w:cantSplit/>
        </w:trPr>
        <w:tc>
          <w:tcPr>
            <w:tcW w:type="dxa" w:w="423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保留與停滯警告</w:t>
            </w:r>
            <w:r>
              <w:br/>
            </w:r>
            <w:r>
              <w:rPr>
                <w:rFonts w:ascii="Microsoft JhengHei" w:hAnsi="Microsoft JhengHei" w:eastAsia="Microsoft JhengHei"/>
                <w:b w:val="0"/>
                <w:sz w:val="19"/>
              </w:rPr>
              <w:t>（Hold Warning）</w:t>
            </w:r>
          </w:p>
        </w:tc>
        <w:tc>
          <w:tcPr>
            <w:tcW w:type="dxa" w:w="11014"/>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【嚴格警語】本文件不得作為社團法人原始點協會已執行真實培訓績效之宣稱！</w:t>
            </w:r>
            <w:r>
              <w:br/>
            </w:r>
            <w:r>
              <w:rPr>
                <w:rFonts w:ascii="Microsoft JhengHei" w:hAnsi="Microsoft JhengHei" w:eastAsia="Microsoft JhengHei"/>
                <w:b w:val="0"/>
                <w:sz w:val="19"/>
              </w:rPr>
              <w:t>真實協會正式文件必須於「替換對照登記表」（Replacement Register）所列各欄位填入真實開課日期、核准之問卷正本、受訓志工真實流水號及講師簽署之實作評分表。未通過內部審查（Human Gate）前，評核狀態維持 NOT_GRANTED。</w:t>
            </w:r>
          </w:p>
        </w:tc>
      </w:tr>
    </w:tbl>
    <w:p>
      <w:pPr>
        <w:spacing w:after="20"/>
      </w:pPr>
    </w:p>
    <w:p>
      <w:pPr>
        <w:pStyle w:val="Heading1"/>
      </w:pPr>
      <w:r>
        <w:rPr>
          <w:rFonts w:ascii="Microsoft JhengHei" w:hAnsi="Microsoft JhengHei" w:eastAsia="Microsoft JhengHei"/>
          <w:b w:val="0"/>
          <w:sz w:val="30"/>
        </w:rPr>
        <w:t>2. 官方評核基準對應與證據範圍（Requirement Mapping &amp; Evidence Scope）</w:t>
      </w:r>
    </w:p>
    <w:p>
      <w:pPr>
        <w:pStyle w:val="Heading2"/>
      </w:pPr>
      <w:r>
        <w:rPr>
          <w:rFonts w:ascii="Microsoft JhengHei" w:hAnsi="Microsoft JhengHei" w:eastAsia="Microsoft JhengHei"/>
          <w:b w:val="0"/>
          <w:sz w:val="25"/>
        </w:rPr>
        <w:t>2.1 評核基準對應矩陣</w:t>
      </w:r>
    </w:p>
    <w:p>
      <w:r>
        <w:rPr>
          <w:rFonts w:ascii="Microsoft JhengHei" w:hAnsi="Microsoft JhengHei" w:eastAsia="Microsoft JhengHei"/>
          <w:b w:val="0"/>
          <w:sz w:val="21"/>
        </w:rPr>
        <w:t>本文件僅按本工作所引用之官方評核基準定位 I19-E09；以下問卷、量表、技能規準、門檻及分析方法均屬示範設計，並非宣稱為官方強制格式或協會已核定制度：</w:t>
      </w:r>
    </w:p>
    <w:tbl>
      <w:tblPr>
        <w:tblW w:type="auto" w:w="0"/>
        <w:jc w:val="center"/>
        <w:tblLayout w:type="fixed"/>
        <w:tblLook w:firstColumn="1" w:firstRow="1" w:lastColumn="0" w:lastRow="0" w:noHBand="0" w:noVBand="1" w:val="04A0"/>
      </w:tblPr>
      <w:tblGrid>
        <w:gridCol w:w="5083"/>
        <w:gridCol w:w="5083"/>
        <w:gridCol w:w="5083"/>
      </w:tblGrid>
      <w:tr>
        <w:trPr>
          <w:cantSplit/>
          <w:tblHeader w:val="true"/>
        </w:trPr>
        <w:tc>
          <w:tcPr>
            <w:tcW w:type="dxa" w:w="4766"/>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證據面向</w:t>
            </w:r>
          </w:p>
        </w:tc>
        <w:tc>
          <w:tcPr>
            <w:tcW w:type="dxa" w:w="5719"/>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本示範提供的直接內容</w:t>
            </w:r>
          </w:p>
        </w:tc>
        <w:tc>
          <w:tcPr>
            <w:tcW w:type="dxa" w:w="4766"/>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範圍界線</w:t>
            </w:r>
          </w:p>
        </w:tc>
      </w:tr>
      <w:tr>
        <w:trPr>
          <w:cantSplit/>
        </w:trPr>
        <w:tc>
          <w:tcPr>
            <w:tcW w:type="dxa" w:w="476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學員滿意度（反應）</w:t>
            </w:r>
          </w:p>
        </w:tc>
        <w:tc>
          <w:tcPr>
            <w:tcW w:type="dxa" w:w="571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Q01–Q10 量表、逐筆代碼化回覆、逐題 n、平均、正向率及缺漏處理</w:t>
            </w:r>
          </w:p>
        </w:tc>
        <w:tc>
          <w:tcPr>
            <w:tcW w:type="dxa" w:w="476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SAMPLE；不是協會實際回饋</w:t>
            </w:r>
          </w:p>
        </w:tc>
      </w:tr>
      <w:tr>
        <w:trPr>
          <w:cantSplit/>
        </w:trPr>
        <w:tc>
          <w:tcPr>
            <w:tcW w:type="dxa" w:w="476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技能測驗（學習）</w:t>
            </w:r>
          </w:p>
        </w:tc>
        <w:tc>
          <w:tcPr>
            <w:tcW w:type="dxa" w:w="571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五項任務、0／10／20 規準、合成前後測與可重算結果</w:t>
            </w:r>
          </w:p>
        </w:tc>
        <w:tc>
          <w:tcPr>
            <w:tcW w:type="dxa" w:w="476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70 分門檻為 SAMPLE；不是正式資格認定</w:t>
            </w:r>
          </w:p>
        </w:tc>
      </w:tr>
      <w:tr>
        <w:trPr>
          <w:cantSplit/>
        </w:trPr>
        <w:tc>
          <w:tcPr>
            <w:tcW w:type="dxa" w:w="476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心得反思</w:t>
            </w:r>
          </w:p>
        </w:tc>
        <w:tc>
          <w:tcPr>
            <w:tcW w:type="dxa" w:w="571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三段合成反思及改善假設</w:t>
            </w:r>
          </w:p>
        </w:tc>
        <w:tc>
          <w:tcPr>
            <w:tcW w:type="dxa" w:w="476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不是受訪者原話或真實編碼</w:t>
            </w:r>
          </w:p>
        </w:tc>
      </w:tr>
      <w:tr>
        <w:trPr>
          <w:cantSplit/>
        </w:trPr>
        <w:tc>
          <w:tcPr>
            <w:tcW w:type="dxa" w:w="476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官方定位</w:t>
            </w:r>
          </w:p>
        </w:tc>
        <w:tc>
          <w:tcPr>
            <w:tcW w:type="dxa" w:w="571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I19-E09 官方文字及來源頁 8</w:t>
            </w:r>
          </w:p>
        </w:tc>
        <w:tc>
          <w:tcPr>
            <w:tcW w:type="dxa" w:w="476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官方文字不等於官方規定本文件所有方法</w:t>
            </w:r>
          </w:p>
        </w:tc>
      </w:tr>
    </w:tbl>
    <w:p>
      <w:pPr>
        <w:spacing w:after="20"/>
      </w:pPr>
    </w:p>
    <w:p>
      <w:pPr>
        <w:pStyle w:val="Heading2"/>
      </w:pPr>
      <w:r>
        <w:rPr>
          <w:rFonts w:ascii="Microsoft JhengHei" w:hAnsi="Microsoft JhengHei" w:eastAsia="Microsoft JhengHei"/>
          <w:b w:val="0"/>
          <w:sz w:val="25"/>
        </w:rPr>
        <w:t>2.2 證據範圍與相鄰文件負向邊界宣告</w:t>
      </w:r>
    </w:p>
    <w:p>
      <w:r>
        <w:rPr>
          <w:rFonts w:ascii="Microsoft JhengHei" w:hAnsi="Microsoft JhengHei" w:eastAsia="Microsoft JhengHei"/>
          <w:b w:val="0"/>
          <w:sz w:val="21"/>
        </w:rPr>
        <w:t>為杜絕評核審查中常見之「文件替代混淆」或「一套數據多處拼湊」之缺失，特此確立相鄰指標之嚴格邊界：</w:t>
      </w:r>
    </w:p>
    <w:p>
      <w:pPr>
        <w:ind w:left="403" w:hanging="317"/>
      </w:pPr>
      <w:r>
        <w:rPr>
          <w:rFonts w:ascii="Microsoft JhengHei" w:hAnsi="Microsoft JhengHei" w:eastAsia="Microsoft JhengHei"/>
          <w:b w:val="0"/>
          <w:sz w:val="21"/>
        </w:rPr>
        <w:t xml:space="preserve">1. </w:t>
      </w:r>
      <w:r>
        <w:rPr>
          <w:rFonts w:ascii="Microsoft JhengHei" w:hAnsi="Microsoft JhengHei" w:eastAsia="Microsoft JhengHei"/>
          <w:b/>
          <w:sz w:val="21"/>
        </w:rPr>
        <w:t>區隔 0120 / I19-E08（初步訓練成果彙整／評量紀錄表）</w:t>
      </w:r>
      <w:r>
        <w:rPr>
          <w:rFonts w:ascii="Microsoft JhengHei" w:hAnsi="Microsoft JhengHei" w:eastAsia="Microsoft JhengHei"/>
          <w:b w:val="0"/>
          <w:sz w:val="21"/>
        </w:rPr>
        <w:t>：</w:t>
      </w:r>
    </w:p>
    <w:p>
      <w:pPr>
        <w:pStyle w:val="ListBullet"/>
        <w:ind w:left="749" w:hanging="216"/>
      </w:pPr>
      <w:r>
        <w:rPr>
          <w:rFonts w:ascii="Microsoft JhengHei" w:hAnsi="Microsoft JhengHei" w:eastAsia="Microsoft JhengHei"/>
          <w:b w:val="0"/>
          <w:sz w:val="21"/>
        </w:rPr>
        <w:t>0120 文件聚焦於整體訓練辦理過程之初步成果盤點與行政彙整（包含出席率、總體結訓人數統計及開班合規審查）。</w:t>
      </w:r>
    </w:p>
    <w:p>
      <w:pPr>
        <w:pStyle w:val="ListBullet"/>
        <w:ind w:left="749" w:hanging="216"/>
      </w:pPr>
      <w:r>
        <w:rPr>
          <w:rFonts w:ascii="Microsoft JhengHei" w:hAnsi="Microsoft JhengHei" w:eastAsia="Microsoft JhengHei"/>
          <w:b w:val="0"/>
          <w:sz w:val="21"/>
        </w:rPr>
        <w:t>本報告（0121）則專注於「學員個人層次」之具體量化反應（滿意度題項分佈）與微觀「技能實作行為改變」（五項具體操作測驗的前後測數據與成對分析）。不得引用 0120 之群組數據作為個人評量，兩者案例代碼獨立（本報告固定使用 SAMPLE-0121-C01）。</w:t>
      </w:r>
    </w:p>
    <w:p>
      <w:pPr>
        <w:ind w:left="403" w:hanging="317"/>
      </w:pPr>
      <w:r>
        <w:rPr>
          <w:rFonts w:ascii="Microsoft JhengHei" w:hAnsi="Microsoft JhengHei" w:eastAsia="Microsoft JhengHei"/>
          <w:b w:val="0"/>
          <w:sz w:val="21"/>
        </w:rPr>
        <w:t xml:space="preserve">2. </w:t>
      </w:r>
      <w:r>
        <w:rPr>
          <w:rFonts w:ascii="Microsoft JhengHei" w:hAnsi="Microsoft JhengHei" w:eastAsia="Microsoft JhengHei"/>
          <w:b/>
          <w:sz w:val="21"/>
        </w:rPr>
        <w:t>區隔 0122 / I19-E10（訓後行動計畫與結訓追蹤分析報告）</w:t>
      </w:r>
      <w:r>
        <w:rPr>
          <w:rFonts w:ascii="Microsoft JhengHei" w:hAnsi="Microsoft JhengHei" w:eastAsia="Microsoft JhengHei"/>
          <w:b w:val="0"/>
          <w:sz w:val="21"/>
        </w:rPr>
        <w:t>：</w:t>
      </w:r>
    </w:p>
    <w:p>
      <w:pPr>
        <w:pStyle w:val="ListBullet"/>
        <w:ind w:left="749" w:hanging="216"/>
      </w:pPr>
      <w:r>
        <w:rPr>
          <w:rFonts w:ascii="Microsoft JhengHei" w:hAnsi="Microsoft JhengHei" w:eastAsia="Microsoft JhengHei"/>
          <w:b w:val="0"/>
          <w:sz w:val="21"/>
        </w:rPr>
        <w:t>0122 文件屬於柯氏第三層次（行為層次）與後續成效追蹤，著重於學員結訓 1 至 3 個月後於工作或志願服務現場之實踐應用、證照取得率或組織績效產出。</w:t>
      </w:r>
    </w:p>
    <w:p>
      <w:pPr>
        <w:pStyle w:val="ListBullet"/>
        <w:ind w:left="749" w:hanging="216"/>
      </w:pPr>
      <w:r>
        <w:rPr>
          <w:rFonts w:ascii="Microsoft JhengHei" w:hAnsi="Microsoft JhengHei" w:eastAsia="Microsoft JhengHei"/>
          <w:b w:val="0"/>
          <w:sz w:val="21"/>
        </w:rPr>
        <w:t>本報告（0121）僅限於「課堂期間及結訓當下」所獲取之直接回饋與隨堂測驗，嚴禁在本報告內跨越邊界預先宣告或推論長期的組織層次影響（Organizational Impact）。</w:t>
      </w:r>
    </w:p>
    <w:p>
      <w:pPr>
        <w:ind w:left="403" w:hanging="317"/>
      </w:pPr>
      <w:r>
        <w:rPr>
          <w:rFonts w:ascii="Microsoft JhengHei" w:hAnsi="Microsoft JhengHei" w:eastAsia="Microsoft JhengHei"/>
          <w:b w:val="0"/>
          <w:sz w:val="21"/>
        </w:rPr>
        <w:t xml:space="preserve">3. </w:t>
      </w:r>
      <w:r>
        <w:rPr>
          <w:rFonts w:ascii="Microsoft JhengHei" w:hAnsi="Microsoft JhengHei" w:eastAsia="Microsoft JhengHei"/>
          <w:b/>
          <w:sz w:val="21"/>
        </w:rPr>
        <w:t>無醫學與臨床療效宣稱邊界</w:t>
      </w:r>
      <w:r>
        <w:rPr>
          <w:rFonts w:ascii="Microsoft JhengHei" w:hAnsi="Microsoft JhengHei" w:eastAsia="Microsoft JhengHei"/>
          <w:b w:val="0"/>
          <w:sz w:val="21"/>
        </w:rPr>
        <w:t>：</w:t>
      </w:r>
    </w:p>
    <w:p>
      <w:pPr>
        <w:pStyle w:val="ListBullet"/>
        <w:ind w:left="749" w:hanging="216"/>
      </w:pPr>
      <w:r>
        <w:rPr>
          <w:rFonts w:ascii="Microsoft JhengHei" w:hAnsi="Microsoft JhengHei" w:eastAsia="Microsoft JhengHei"/>
          <w:b w:val="0"/>
          <w:sz w:val="21"/>
        </w:rPr>
        <w:t>本報告虛擬範例設定為「志願服務關懷與基礎實作技能」，著重於服務接待、同理溝通、個案隱私防護、輪椅操作安全及緊急通報。全文絕不涉及任何診斷、醫療行為、替代療法療效或侵入性處置之評估。</w:t>
      </w:r>
    </w:p>
    <w:p>
      <w:pPr>
        <w:pStyle w:val="Heading1"/>
      </w:pPr>
      <w:r>
        <w:rPr>
          <w:rFonts w:ascii="Microsoft JhengHei" w:hAnsi="Microsoft JhengHei" w:eastAsia="Microsoft JhengHei"/>
          <w:b w:val="0"/>
          <w:sz w:val="30"/>
        </w:rPr>
        <w:t>3. 評量機制設計與實施流程（Evaluation Design &amp; Methodology）</w:t>
      </w:r>
    </w:p>
    <w:p>
      <w:pPr>
        <w:pStyle w:val="Heading2"/>
      </w:pPr>
      <w:r>
        <w:rPr>
          <w:rFonts w:ascii="Microsoft JhengHei" w:hAnsi="Microsoft JhengHei" w:eastAsia="Microsoft JhengHei"/>
          <w:b w:val="0"/>
          <w:sz w:val="25"/>
        </w:rPr>
        <w:t>3.1 評估構念與培訓目標對齊架構</w:t>
      </w:r>
    </w:p>
    <w:p>
      <w:r>
        <w:rPr>
          <w:rFonts w:ascii="Microsoft JhengHei" w:hAnsi="Microsoft JhengHei" w:eastAsia="Microsoft JhengHei"/>
          <w:b w:val="0"/>
          <w:sz w:val="21"/>
        </w:rPr>
        <w:t>本評估體系遵循「成果導向教育（OBE）」原則，確保每一項評估題項均能回溯至對應之單元學習目標與核心職能構念：</w:t>
      </w:r>
    </w:p>
    <w:tbl>
      <w:tblPr>
        <w:tblW w:type="auto" w:w="0"/>
        <w:jc w:val="center"/>
        <w:tblLayout w:type="fixed"/>
        <w:tblLook w:firstColumn="1" w:firstRow="1" w:lastColumn="0" w:lastRow="0" w:noHBand="0" w:noVBand="1" w:val="04A0"/>
      </w:tblPr>
      <w:tblGrid>
        <w:gridCol w:w="5083"/>
        <w:gridCol w:w="5083"/>
        <w:gridCol w:w="5083"/>
      </w:tblGrid>
      <w:tr>
        <w:trPr>
          <w:cantSplit/>
          <w:tblHeader w:val="true"/>
        </w:trPr>
        <w:tc>
          <w:tcPr>
            <w:tcW w:type="dxa" w:w="5083"/>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示範構念</w:t>
            </w:r>
          </w:p>
        </w:tc>
        <w:tc>
          <w:tcPr>
            <w:tcW w:type="dxa" w:w="5083"/>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可觀察的學習目標</w:t>
            </w:r>
          </w:p>
        </w:tc>
        <w:tc>
          <w:tcPr>
            <w:tcW w:type="dxa" w:w="5083"/>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對應工具</w:t>
            </w:r>
          </w:p>
        </w:tc>
      </w:tr>
      <w:tr>
        <w:trPr>
          <w:cantSplit/>
        </w:trPr>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同理溝通與服務接待</w:t>
            </w:r>
          </w:p>
        </w:tc>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能運用傾聽並完成接待情境演練</w:t>
            </w:r>
          </w:p>
        </w:tc>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Q01、Q03；T01</w:t>
            </w:r>
          </w:p>
        </w:tc>
      </w:tr>
      <w:tr>
        <w:trPr>
          <w:cantSplit/>
        </w:trPr>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資料保密與個案隱私</w:t>
            </w:r>
          </w:p>
        </w:tc>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能依示範保密程序處理個案資訊</w:t>
            </w:r>
          </w:p>
        </w:tc>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Q02、Q07；T02</w:t>
            </w:r>
          </w:p>
        </w:tc>
      </w:tr>
      <w:tr>
        <w:trPr>
          <w:cantSplit/>
        </w:trPr>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輔具安全輔助</w:t>
            </w:r>
          </w:p>
        </w:tc>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能依安全檢核步驟操作輪椅移位情境</w:t>
            </w:r>
          </w:p>
        </w:tc>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Q04、Q05；T03</w:t>
            </w:r>
          </w:p>
        </w:tc>
      </w:tr>
      <w:tr>
        <w:trPr>
          <w:cantSplit/>
        </w:trPr>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意外應變與通報</w:t>
            </w:r>
          </w:p>
        </w:tc>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能維持情境安全並按流程通報</w:t>
            </w:r>
          </w:p>
        </w:tc>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Q05、Q08；T04</w:t>
            </w:r>
          </w:p>
        </w:tc>
      </w:tr>
      <w:tr>
        <w:trPr>
          <w:cantSplit/>
        </w:trPr>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物資清點與核對</w:t>
            </w:r>
          </w:p>
        </w:tc>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能分類、盤點並完成領用核對</w:t>
            </w:r>
          </w:p>
        </w:tc>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Q06、Q09；T05</w:t>
            </w:r>
          </w:p>
        </w:tc>
      </w:tr>
      <w:tr>
        <w:trPr>
          <w:cantSplit/>
        </w:trPr>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行政支援與學習環境</w:t>
            </w:r>
          </w:p>
        </w:tc>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能辨識設備、教材與班務支援的充分性</w:t>
            </w:r>
          </w:p>
        </w:tc>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Q06、Q10；Q11–Q12反思</w:t>
            </w:r>
          </w:p>
        </w:tc>
      </w:tr>
    </w:tbl>
    <w:p>
      <w:pPr>
        <w:spacing w:after="20"/>
      </w:pPr>
    </w:p>
    <w:p>
      <w:pPr>
        <w:pStyle w:val="Heading2"/>
      </w:pPr>
      <w:r>
        <w:rPr>
          <w:rFonts w:ascii="Microsoft JhengHei" w:hAnsi="Microsoft JhengHei" w:eastAsia="Microsoft JhengHei"/>
          <w:b w:val="0"/>
          <w:sz w:val="25"/>
        </w:rPr>
        <w:t>3.2 評量對象、施測情境與樣本流向規劃</w:t>
      </w:r>
    </w:p>
    <w:p>
      <w:pPr>
        <w:pStyle w:val="ListBullet"/>
        <w:ind w:left="403" w:hanging="216"/>
      </w:pPr>
      <w:r>
        <w:rPr>
          <w:rFonts w:ascii="Microsoft JhengHei" w:hAnsi="Microsoft JhengHei" w:eastAsia="Microsoft JhengHei"/>
          <w:b/>
          <w:sz w:val="21"/>
        </w:rPr>
        <w:t>評估樣本群體</w:t>
      </w:r>
      <w:r>
        <w:rPr>
          <w:rFonts w:ascii="Microsoft JhengHei" w:hAnsi="Microsoft JhengHei" w:eastAsia="Microsoft JhengHei"/>
          <w:b w:val="0"/>
          <w:sz w:val="21"/>
        </w:rPr>
        <w:t>：本示範以 10 個 SAMPLE / SYNTHETIC 邀請代碼 P01–P10 表示邀請母體，不代表協會名冊、實際受邀或出席紀錄。</w:t>
      </w:r>
    </w:p>
    <w:p>
      <w:pPr>
        <w:pStyle w:val="ListBullet"/>
        <w:ind w:left="403" w:hanging="216"/>
      </w:pPr>
      <w:r>
        <w:rPr>
          <w:rFonts w:ascii="Microsoft JhengHei" w:hAnsi="Microsoft JhengHei" w:eastAsia="Microsoft JhengHei"/>
          <w:b/>
          <w:sz w:val="21"/>
        </w:rPr>
        <w:t>施測時間點</w:t>
      </w:r>
      <w:r>
        <w:rPr>
          <w:rFonts w:ascii="Microsoft JhengHei" w:hAnsi="Microsoft JhengHei" w:eastAsia="Microsoft JhengHei"/>
          <w:b w:val="0"/>
          <w:sz w:val="21"/>
        </w:rPr>
        <w:t>：</w:t>
      </w:r>
    </w:p>
    <w:p>
      <w:pPr>
        <w:pStyle w:val="ListBullet"/>
        <w:ind w:left="749" w:hanging="216"/>
      </w:pPr>
      <w:r>
        <w:rPr>
          <w:rFonts w:ascii="Microsoft JhengHei" w:hAnsi="Microsoft JhengHei" w:eastAsia="Microsoft JhengHei"/>
          <w:b/>
          <w:sz w:val="21"/>
        </w:rPr>
        <w:t>技能前測（Pre-test）</w:t>
      </w:r>
      <w:r>
        <w:rPr>
          <w:rFonts w:ascii="Microsoft JhengHei" w:hAnsi="Microsoft JhengHei" w:eastAsia="Microsoft JhengHei"/>
          <w:b w:val="0"/>
          <w:sz w:val="21"/>
        </w:rPr>
        <w:t>：培訓第一天上午課程開始前 30 分鐘，由評分員逐一進行 5 項技能基礎演練測試，建立基準線（Baseline）。</w:t>
      </w:r>
    </w:p>
    <w:p>
      <w:pPr>
        <w:pStyle w:val="ListBullet"/>
        <w:ind w:left="749" w:hanging="216"/>
      </w:pPr>
      <w:r>
        <w:rPr>
          <w:rFonts w:ascii="Microsoft JhengHei" w:hAnsi="Microsoft JhengHei" w:eastAsia="Microsoft JhengHei"/>
          <w:b/>
          <w:sz w:val="21"/>
        </w:rPr>
        <w:t>滿意度調查</w:t>
      </w:r>
      <w:r>
        <w:rPr>
          <w:rFonts w:ascii="Microsoft JhengHei" w:hAnsi="Microsoft JhengHei" w:eastAsia="Microsoft JhengHei"/>
          <w:b w:val="0"/>
          <w:sz w:val="21"/>
        </w:rPr>
        <w:t>：結訓當天最後一節課結束前 15 分鐘，以代碼化方式填答；若需與技能結果連結，須在告知、權限及保存規則明確後由獲授權保管人管理對照表，由班務人員統一回收封存。</w:t>
      </w:r>
    </w:p>
    <w:p>
      <w:pPr>
        <w:pStyle w:val="ListBullet"/>
        <w:ind w:left="749" w:hanging="216"/>
      </w:pPr>
      <w:r>
        <w:rPr>
          <w:rFonts w:ascii="Microsoft JhengHei" w:hAnsi="Microsoft JhengHei" w:eastAsia="Microsoft JhengHei"/>
          <w:b/>
          <w:sz w:val="21"/>
        </w:rPr>
        <w:t>技能後測（Post-test）</w:t>
      </w:r>
      <w:r>
        <w:rPr>
          <w:rFonts w:ascii="Microsoft JhengHei" w:hAnsi="Microsoft JhengHei" w:eastAsia="Microsoft JhengHei"/>
          <w:b w:val="0"/>
          <w:sz w:val="21"/>
        </w:rPr>
        <w:t>：結訓當天下午實作驗收時段，由評估講師依據標準化規準逐項評定。</w:t>
      </w:r>
    </w:p>
    <w:p>
      <w:pPr>
        <w:pStyle w:val="ListBullet"/>
        <w:ind w:left="749" w:hanging="216"/>
      </w:pPr>
      <w:r>
        <w:rPr>
          <w:rFonts w:ascii="Microsoft JhengHei" w:hAnsi="Microsoft JhengHei" w:eastAsia="Microsoft JhengHei"/>
          <w:b/>
          <w:sz w:val="21"/>
        </w:rPr>
        <w:t>心得反思報告</w:t>
      </w:r>
      <w:r>
        <w:rPr>
          <w:rFonts w:ascii="Microsoft JhengHei" w:hAnsi="Microsoft JhengHei" w:eastAsia="Microsoft JhengHei"/>
          <w:b w:val="0"/>
          <w:sz w:val="21"/>
        </w:rPr>
        <w:t>：與滿意度問卷合併發放，採半開放式結構引導學員針對技能收穫與未來應用盲點撰寫。</w:t>
      </w:r>
    </w:p>
    <w:p>
      <w:pPr>
        <w:pStyle w:val="ListBullet"/>
        <w:ind w:left="403" w:hanging="216"/>
      </w:pPr>
      <w:r>
        <w:rPr>
          <w:rFonts w:ascii="Microsoft JhengHei" w:hAnsi="Microsoft JhengHei" w:eastAsia="Microsoft JhengHei"/>
          <w:b/>
          <w:sz w:val="21"/>
        </w:rPr>
        <w:t>代碼化與資料保密維護</w:t>
      </w:r>
      <w:r>
        <w:rPr>
          <w:rFonts w:ascii="Microsoft JhengHei" w:hAnsi="Microsoft JhengHei" w:eastAsia="Microsoft JhengHei"/>
          <w:b w:val="0"/>
          <w:sz w:val="21"/>
        </w:rPr>
        <w:t>：本示範以 P01–P10 代碼連結問卷、技能評量與反思資料，因此屬代碼化／假名化資料，不可稱為完全匿名。真實執行時，代碼對照表須由獲授權保管人分離保管、限制存取並確認告知與保存期限；報告只呈現必要代碼或彙總資料。</w:t>
      </w:r>
    </w:p>
    <w:p>
      <w:pPr>
        <w:pStyle w:val="Heading2"/>
      </w:pPr>
      <w:r>
        <w:rPr>
          <w:rFonts w:ascii="Microsoft JhengHei" w:hAnsi="Microsoft JhengHei" w:eastAsia="Microsoft JhengHei"/>
          <w:b w:val="0"/>
          <w:sz w:val="25"/>
        </w:rPr>
        <w:t>3.3 樣本流向、納入與排除標準（Flow &amp; Inclusion Criteria）</w:t>
      </w:r>
    </w:p>
    <w:p>
      <w:r>
        <w:rPr>
          <w:rFonts w:ascii="Microsoft JhengHei" w:hAnsi="Microsoft JhengHei" w:eastAsia="Microsoft JhengHei"/>
          <w:b w:val="0"/>
          <w:sz w:val="21"/>
        </w:rPr>
        <w:t>本報告嚴格定義問卷與測驗之「有效性」與「排除標準」，以確保統計數據之嚴謹度：</w:t>
      </w:r>
    </w:p>
    <w:p>
      <w:pPr>
        <w:ind w:left="403" w:hanging="317"/>
      </w:pPr>
      <w:r>
        <w:rPr>
          <w:rFonts w:ascii="Microsoft JhengHei" w:hAnsi="Microsoft JhengHei" w:eastAsia="Microsoft JhengHei"/>
          <w:b w:val="0"/>
          <w:sz w:val="21"/>
        </w:rPr>
        <w:t xml:space="preserve">1. </w:t>
      </w:r>
      <w:r>
        <w:rPr>
          <w:rFonts w:ascii="Microsoft JhengHei" w:hAnsi="Microsoft JhengHei" w:eastAsia="Microsoft JhengHei"/>
          <w:b/>
          <w:sz w:val="21"/>
        </w:rPr>
        <w:t>滿意度問卷完整卷納入標準（Composite Inclusion）</w:t>
      </w:r>
      <w:r>
        <w:rPr>
          <w:rFonts w:ascii="Microsoft JhengHei" w:hAnsi="Microsoft JhengHei" w:eastAsia="Microsoft JhengHei"/>
          <w:b w:val="0"/>
          <w:sz w:val="21"/>
        </w:rPr>
        <w:t>：</w:t>
      </w:r>
    </w:p>
    <w:p>
      <w:pPr>
        <w:pStyle w:val="ListBullet"/>
        <w:ind w:left="749" w:hanging="216"/>
      </w:pPr>
      <w:r>
        <w:rPr>
          <w:rFonts w:ascii="Microsoft JhengHei" w:hAnsi="Microsoft JhengHei" w:eastAsia="Microsoft JhengHei"/>
          <w:b w:val="0"/>
          <w:sz w:val="21"/>
        </w:rPr>
        <w:t>滿意度量表共 10 題，填答者必須完成至少 8 題（含）以上，且未呈現「整卷單一固定選項畫線（Straight-lining）」等無效作答模式者，方得計入「整體綜合滿意度指標（Composite Satisfaction Index）」。</w:t>
      </w:r>
    </w:p>
    <w:p>
      <w:pPr>
        <w:ind w:left="403" w:hanging="317"/>
      </w:pPr>
      <w:r>
        <w:rPr>
          <w:rFonts w:ascii="Microsoft JhengHei" w:hAnsi="Microsoft JhengHei" w:eastAsia="Microsoft JhengHei"/>
          <w:b w:val="0"/>
          <w:sz w:val="21"/>
        </w:rPr>
        <w:t xml:space="preserve">2. </w:t>
      </w:r>
      <w:r>
        <w:rPr>
          <w:rFonts w:ascii="Microsoft JhengHei" w:hAnsi="Microsoft JhengHei" w:eastAsia="Microsoft JhengHei"/>
          <w:b/>
          <w:sz w:val="21"/>
        </w:rPr>
        <w:t>滿意度部分填答卷處理標準（Partial Response Rule）</w:t>
      </w:r>
      <w:r>
        <w:rPr>
          <w:rFonts w:ascii="Microsoft JhengHei" w:hAnsi="Microsoft JhengHei" w:eastAsia="Microsoft JhengHei"/>
          <w:b w:val="0"/>
          <w:sz w:val="21"/>
        </w:rPr>
        <w:t>：</w:t>
      </w:r>
    </w:p>
    <w:p>
      <w:pPr>
        <w:pStyle w:val="ListBullet"/>
        <w:ind w:left="749" w:hanging="216"/>
      </w:pPr>
      <w:r>
        <w:rPr>
          <w:rFonts w:ascii="Microsoft JhengHei" w:hAnsi="Microsoft JhengHei" w:eastAsia="Microsoft JhengHei"/>
          <w:b w:val="0"/>
          <w:sz w:val="21"/>
        </w:rPr>
        <w:t>填答題數達到 6 題或 7 題者，視為「部分作答卷（Partial Form）」。該卷不納入整體綜合滿意度平均數計算（避免因題項遺漏扭曲整體平均），但其已有效勾選之個別題項，仍可計入該「個別題項之平均數與正向率統計分母」。</w:t>
      </w:r>
    </w:p>
    <w:p>
      <w:pPr>
        <w:pStyle w:val="ListBullet"/>
        <w:ind w:left="749" w:hanging="216"/>
      </w:pPr>
      <w:r>
        <w:rPr>
          <w:rFonts w:ascii="Microsoft JhengHei" w:hAnsi="Microsoft JhengHei" w:eastAsia="Microsoft JhengHei"/>
          <w:b w:val="0"/>
          <w:sz w:val="21"/>
        </w:rPr>
        <w:t>填答題數低於 6 題者，全卷判定為廢卷，予以剔除。</w:t>
      </w:r>
    </w:p>
    <w:p>
      <w:pPr>
        <w:ind w:left="403" w:hanging="317"/>
      </w:pPr>
      <w:r>
        <w:rPr>
          <w:rFonts w:ascii="Microsoft JhengHei" w:hAnsi="Microsoft JhengHei" w:eastAsia="Microsoft JhengHei"/>
          <w:b w:val="0"/>
          <w:sz w:val="21"/>
        </w:rPr>
        <w:t xml:space="preserve">3. </w:t>
      </w:r>
      <w:r>
        <w:rPr>
          <w:rFonts w:ascii="Microsoft JhengHei" w:hAnsi="Microsoft JhengHei" w:eastAsia="Microsoft JhengHei"/>
          <w:b/>
          <w:sz w:val="21"/>
        </w:rPr>
        <w:t>技能評量成對分析標準（Paired Learning Inclusion）</w:t>
      </w:r>
      <w:r>
        <w:rPr>
          <w:rFonts w:ascii="Microsoft JhengHei" w:hAnsi="Microsoft JhengHei" w:eastAsia="Microsoft JhengHei"/>
          <w:b w:val="0"/>
          <w:sz w:val="21"/>
        </w:rPr>
        <w:t>：</w:t>
      </w:r>
    </w:p>
    <w:p>
      <w:pPr>
        <w:pStyle w:val="ListBullet"/>
        <w:ind w:left="749" w:hanging="216"/>
      </w:pPr>
      <w:r>
        <w:rPr>
          <w:rFonts w:ascii="Microsoft JhengHei" w:hAnsi="Microsoft JhengHei" w:eastAsia="Microsoft JhengHei"/>
          <w:b w:val="0"/>
          <w:sz w:val="21"/>
        </w:rPr>
        <w:t>必須同時具備前測與後測完整評分紀錄者，方得納入「成對進步幅度（Paired Mean Change）」計算。若學員因中途缺席、請假致後測缺考者，僅保留前測作為參考，不得進行前後測配對統計。</w:t>
      </w:r>
    </w:p>
    <w:p>
      <w:pPr>
        <w:pStyle w:val="Heading1"/>
      </w:pPr>
      <w:r>
        <w:rPr>
          <w:rFonts w:ascii="Microsoft JhengHei" w:hAnsi="Microsoft JhengHei" w:eastAsia="Microsoft JhengHei"/>
          <w:b w:val="0"/>
          <w:sz w:val="30"/>
        </w:rPr>
        <w:t>4. 資料字典與統計指標定義（Data Dictionary &amp; Formulas）</w:t>
      </w:r>
    </w:p>
    <w:p>
      <w:r>
        <w:rPr>
          <w:rFonts w:ascii="Microsoft JhengHei" w:hAnsi="Microsoft JhengHei" w:eastAsia="Microsoft JhengHei"/>
          <w:b w:val="0"/>
          <w:sz w:val="21"/>
        </w:rPr>
        <w:t>為使所有數據可被第三方獨立評核員精確重算（Recomputable），下表詳列各變數、代碼、量尺、計算公式、遺漏值處理邏輯與真實替換鍵值：</w:t>
      </w:r>
    </w:p>
    <w:tbl>
      <w:tblPr>
        <w:tblW w:type="auto" w:w="0"/>
        <w:jc w:val="center"/>
        <w:tblLayout w:type="fixed"/>
        <w:tblLook w:firstColumn="1" w:firstRow="1" w:lastColumn="0" w:lastRow="0" w:noHBand="0" w:noVBand="1" w:val="04A0"/>
      </w:tblPr>
      <w:tblGrid>
        <w:gridCol w:w="2179"/>
        <w:gridCol w:w="2179"/>
        <w:gridCol w:w="2179"/>
        <w:gridCol w:w="2179"/>
        <w:gridCol w:w="2179"/>
        <w:gridCol w:w="2179"/>
        <w:gridCol w:w="2179"/>
      </w:tblGrid>
      <w:tr>
        <w:trPr>
          <w:cantSplit/>
          <w:tblHeader w:val="true"/>
        </w:trPr>
        <w:tc>
          <w:tcPr>
            <w:tcW w:type="dxa" w:w="1982"/>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變數名稱</w:t>
            </w:r>
          </w:p>
        </w:tc>
        <w:tc>
          <w:tcPr>
            <w:tcW w:type="dxa" w:w="228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變數代碼</w:t>
            </w:r>
          </w:p>
        </w:tc>
        <w:tc>
          <w:tcPr>
            <w:tcW w:type="dxa" w:w="1372"/>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測量尺度</w:t>
            </w:r>
          </w:p>
        </w:tc>
        <w:tc>
          <w:tcPr>
            <w:tcW w:type="dxa" w:w="3355"/>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運算公式（Numerator / Denominator）</w:t>
            </w:r>
          </w:p>
        </w:tc>
        <w:tc>
          <w:tcPr>
            <w:tcW w:type="dxa" w:w="2592"/>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遺漏值與 N/A 處理規則</w:t>
            </w:r>
          </w:p>
        </w:tc>
        <w:tc>
          <w:tcPr>
            <w:tcW w:type="dxa" w:w="1525"/>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原始記錄依據</w:t>
            </w:r>
          </w:p>
        </w:tc>
        <w:tc>
          <w:tcPr>
            <w:tcW w:type="dxa" w:w="2135"/>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替換登記鍵值</w:t>
            </w:r>
          </w:p>
        </w:tc>
      </w:tr>
      <w:tr>
        <w:trPr>
          <w:cantSplit/>
        </w:trPr>
        <w:tc>
          <w:tcPr>
            <w:tcW w:type="dxa" w:w="198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應收受訓人數</w:t>
            </w:r>
          </w:p>
        </w:tc>
        <w:tc>
          <w:tcPr>
            <w:tcW w:type="dxa" w:w="2287"/>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N_INVITED</w:t>
            </w:r>
          </w:p>
        </w:tc>
        <w:tc>
          <w:tcPr>
            <w:tcW w:type="dxa" w:w="137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計數數值</w:t>
            </w:r>
          </w:p>
        </w:tc>
        <w:tc>
          <w:tcPr>
            <w:tcW w:type="dxa" w:w="335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列入本示範問卷邀請與回收率分母的人數；不等同實際出席人數</w:t>
            </w:r>
          </w:p>
        </w:tc>
        <w:tc>
          <w:tcPr>
            <w:tcW w:type="dxa" w:w="259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固定基準值，無遺漏</w:t>
            </w:r>
          </w:p>
        </w:tc>
        <w:tc>
          <w:tcPr>
            <w:tcW w:type="dxa" w:w="152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培訓簽到冊</w:t>
            </w:r>
          </w:p>
        </w:tc>
        <w:tc>
          <w:tcPr>
            <w:tcW w:type="dxa" w:w="213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REP-0121-001</w:t>
            </w:r>
          </w:p>
        </w:tc>
      </w:tr>
      <w:tr>
        <w:trPr>
          <w:cantSplit/>
        </w:trPr>
        <w:tc>
          <w:tcPr>
            <w:tcW w:type="dxa" w:w="198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滿意度回收數</w:t>
            </w:r>
          </w:p>
        </w:tc>
        <w:tc>
          <w:tcPr>
            <w:tcW w:type="dxa" w:w="2287"/>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N_RETURN</w:t>
            </w:r>
          </w:p>
        </w:tc>
        <w:tc>
          <w:tcPr>
            <w:tcW w:type="dxa" w:w="137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計數數值</w:t>
            </w:r>
          </w:p>
        </w:tc>
        <w:tc>
          <w:tcPr>
            <w:tcW w:type="dxa" w:w="335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課堂實際繳回之滿意度問卷總數</w:t>
            </w:r>
          </w:p>
        </w:tc>
        <w:tc>
          <w:tcPr>
            <w:tcW w:type="dxa" w:w="259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未繳回者計為未回覆（Non-response）</w:t>
            </w:r>
          </w:p>
        </w:tc>
        <w:tc>
          <w:tcPr>
            <w:tcW w:type="dxa" w:w="152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問卷點收清單</w:t>
            </w:r>
          </w:p>
        </w:tc>
        <w:tc>
          <w:tcPr>
            <w:tcW w:type="dxa" w:w="213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REP-0121-002</w:t>
            </w:r>
          </w:p>
        </w:tc>
      </w:tr>
      <w:tr>
        <w:trPr>
          <w:cantSplit/>
        </w:trPr>
        <w:tc>
          <w:tcPr>
            <w:tcW w:type="dxa" w:w="198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問卷回收率</w:t>
            </w:r>
          </w:p>
        </w:tc>
        <w:tc>
          <w:tcPr>
            <w:tcW w:type="dxa" w:w="2287"/>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RATE_RETURN</w:t>
            </w:r>
          </w:p>
        </w:tc>
        <w:tc>
          <w:tcPr>
            <w:tcW w:type="dxa" w:w="137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百分比</w:t>
            </w:r>
          </w:p>
        </w:tc>
        <w:tc>
          <w:tcPr>
            <w:tcW w:type="dxa" w:w="335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(N_RETURN) / (N_INVITED)  ×  100%</w:t>
            </w:r>
          </w:p>
        </w:tc>
        <w:tc>
          <w:tcPr>
            <w:tcW w:type="dxa" w:w="259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計算至小數點後第一位，四捨五入</w:t>
            </w:r>
          </w:p>
        </w:tc>
        <w:tc>
          <w:tcPr>
            <w:tcW w:type="dxa" w:w="152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統計彙整表</w:t>
            </w:r>
          </w:p>
        </w:tc>
        <w:tc>
          <w:tcPr>
            <w:tcW w:type="dxa" w:w="213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REP-0121-003</w:t>
            </w:r>
          </w:p>
        </w:tc>
      </w:tr>
      <w:tr>
        <w:trPr>
          <w:cantSplit/>
        </w:trPr>
        <w:tc>
          <w:tcPr>
            <w:tcW w:type="dxa" w:w="198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綜合滿意度納入卷數</w:t>
            </w:r>
          </w:p>
        </w:tc>
        <w:tc>
          <w:tcPr>
            <w:tcW w:type="dxa" w:w="2287"/>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N_COMPOSITE</w:t>
            </w:r>
          </w:p>
        </w:tc>
        <w:tc>
          <w:tcPr>
            <w:tcW w:type="dxa" w:w="137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計數數值</w:t>
            </w:r>
          </w:p>
        </w:tc>
        <w:tc>
          <w:tcPr>
            <w:tcW w:type="dxa" w:w="335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完成題數  ≥  8 題且通過檢核之有效卷數</w:t>
            </w:r>
          </w:p>
        </w:tc>
        <w:tc>
          <w:tcPr>
            <w:tcW w:type="dxa" w:w="259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剔除填答 &lt;8 題及未填卷</w:t>
            </w:r>
          </w:p>
        </w:tc>
        <w:tc>
          <w:tcPr>
            <w:tcW w:type="dxa" w:w="152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數據編碼清冊</w:t>
            </w:r>
          </w:p>
        </w:tc>
        <w:tc>
          <w:tcPr>
            <w:tcW w:type="dxa" w:w="213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REP-0121-004</w:t>
            </w:r>
          </w:p>
        </w:tc>
      </w:tr>
      <w:tr>
        <w:trPr>
          <w:cantSplit/>
        </w:trPr>
        <w:tc>
          <w:tcPr>
            <w:tcW w:type="dxa" w:w="198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綜合滿意度有效率</w:t>
            </w:r>
          </w:p>
        </w:tc>
        <w:tc>
          <w:tcPr>
            <w:tcW w:type="dxa" w:w="2287"/>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RATE_COMP_VALID</w:t>
            </w:r>
          </w:p>
        </w:tc>
        <w:tc>
          <w:tcPr>
            <w:tcW w:type="dxa" w:w="137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百分比</w:t>
            </w:r>
          </w:p>
        </w:tc>
        <w:tc>
          <w:tcPr>
            <w:tcW w:type="dxa" w:w="335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(N_COMPOSITE) / (N_INVITED)  ×  100%</w:t>
            </w:r>
          </w:p>
        </w:tc>
        <w:tc>
          <w:tcPr>
            <w:tcW w:type="dxa" w:w="259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計算至小數點後第一位</w:t>
            </w:r>
          </w:p>
        </w:tc>
        <w:tc>
          <w:tcPr>
            <w:tcW w:type="dxa" w:w="152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統計彙整表</w:t>
            </w:r>
          </w:p>
        </w:tc>
        <w:tc>
          <w:tcPr>
            <w:tcW w:type="dxa" w:w="213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REP-0121-004-RATE</w:t>
            </w:r>
          </w:p>
        </w:tc>
      </w:tr>
      <w:tr>
        <w:trPr>
          <w:cantSplit/>
        </w:trPr>
        <w:tc>
          <w:tcPr>
            <w:tcW w:type="dxa" w:w="198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個別題項有效填答數</w:t>
            </w:r>
          </w:p>
        </w:tc>
        <w:tc>
          <w:tcPr>
            <w:tcW w:type="dxa" w:w="2287"/>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n_i</w:t>
            </w:r>
          </w:p>
        </w:tc>
        <w:tc>
          <w:tcPr>
            <w:tcW w:type="dxa" w:w="137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計數數值</w:t>
            </w:r>
          </w:p>
        </w:tc>
        <w:tc>
          <w:tcPr>
            <w:tcW w:type="dxa" w:w="335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第 i 題有填答有效數值（1–5）之人數</w:t>
            </w:r>
          </w:p>
        </w:tc>
        <w:tc>
          <w:tcPr>
            <w:tcW w:type="dxa" w:w="259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填答「不適用（N/A）」或空白不計入 n_i</w:t>
            </w:r>
          </w:p>
        </w:tc>
        <w:tc>
          <w:tcPr>
            <w:tcW w:type="dxa" w:w="152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各題填答矩陣</w:t>
            </w:r>
          </w:p>
        </w:tc>
        <w:tc>
          <w:tcPr>
            <w:tcW w:type="dxa" w:w="213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REP-0121-006-Q01..Q10</w:t>
            </w:r>
          </w:p>
        </w:tc>
      </w:tr>
      <w:tr>
        <w:trPr>
          <w:cantSplit/>
        </w:trPr>
        <w:tc>
          <w:tcPr>
            <w:tcW w:type="dxa" w:w="198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個別題項平均得分</w:t>
            </w:r>
          </w:p>
        </w:tc>
        <w:tc>
          <w:tcPr>
            <w:tcW w:type="dxa" w:w="2287"/>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X̄_i</w:t>
            </w:r>
          </w:p>
        </w:tc>
        <w:tc>
          <w:tcPr>
            <w:tcW w:type="dxa" w:w="137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等距連續 (1–5)</w:t>
            </w:r>
          </w:p>
        </w:tc>
        <w:tc>
          <w:tcPr>
            <w:tcW w:type="dxa" w:w="335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(Σ X_ij) / (n_i)（X_ij 為第 j 人在第 i 題之得分）</w:t>
            </w:r>
          </w:p>
        </w:tc>
        <w:tc>
          <w:tcPr>
            <w:tcW w:type="dxa" w:w="259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嚴禁將空白或 N/A 視為 0 分</w:t>
            </w:r>
            <w:r>
              <w:rPr>
                <w:rFonts w:ascii="Microsoft JhengHei" w:hAnsi="Microsoft JhengHei" w:eastAsia="Microsoft JhengHei"/>
                <w:b w:val="0"/>
                <w:sz w:val="19"/>
              </w:rPr>
              <w:t>；分母嚴格使用 n_i</w:t>
            </w:r>
          </w:p>
        </w:tc>
        <w:tc>
          <w:tcPr>
            <w:tcW w:type="dxa" w:w="152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各題得分計算</w:t>
            </w:r>
          </w:p>
        </w:tc>
        <w:tc>
          <w:tcPr>
            <w:tcW w:type="dxa" w:w="213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REP-0121-007-Q01..Q10</w:t>
            </w:r>
          </w:p>
        </w:tc>
      </w:tr>
      <w:tr>
        <w:trPr>
          <w:cantSplit/>
        </w:trPr>
        <w:tc>
          <w:tcPr>
            <w:tcW w:type="dxa" w:w="198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正向滿意人數</w:t>
            </w:r>
          </w:p>
        </w:tc>
        <w:tc>
          <w:tcPr>
            <w:tcW w:type="dxa" w:w="2287"/>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Pos_Count_i</w:t>
            </w:r>
          </w:p>
        </w:tc>
        <w:tc>
          <w:tcPr>
            <w:tcW w:type="dxa" w:w="137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計數數值</w:t>
            </w:r>
          </w:p>
        </w:tc>
        <w:tc>
          <w:tcPr>
            <w:tcW w:type="dxa" w:w="335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第 i 題勾選「4（同意／滿意）」或「5（非常同意／滿意）」之總人次</w:t>
            </w:r>
          </w:p>
        </w:tc>
        <w:tc>
          <w:tcPr>
            <w:tcW w:type="dxa" w:w="259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僅累計 4 分與 5 分</w:t>
            </w:r>
          </w:p>
        </w:tc>
        <w:tc>
          <w:tcPr>
            <w:tcW w:type="dxa" w:w="152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各題得分計算</w:t>
            </w:r>
          </w:p>
        </w:tc>
        <w:tc>
          <w:tcPr>
            <w:tcW w:type="dxa" w:w="213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REP-0121-008-Q01..Q10</w:t>
            </w:r>
          </w:p>
        </w:tc>
      </w:tr>
      <w:tr>
        <w:trPr>
          <w:cantSplit/>
        </w:trPr>
        <w:tc>
          <w:tcPr>
            <w:tcW w:type="dxa" w:w="198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正向滿意率</w:t>
            </w:r>
          </w:p>
        </w:tc>
        <w:tc>
          <w:tcPr>
            <w:tcW w:type="dxa" w:w="2287"/>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Pos_Rate_i</w:t>
            </w:r>
          </w:p>
        </w:tc>
        <w:tc>
          <w:tcPr>
            <w:tcW w:type="dxa" w:w="137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百分比</w:t>
            </w:r>
          </w:p>
        </w:tc>
        <w:tc>
          <w:tcPr>
            <w:tcW w:type="dxa" w:w="335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(Pos_Count_i) / (n_i)  ×  100%</w:t>
            </w:r>
          </w:p>
        </w:tc>
        <w:tc>
          <w:tcPr>
            <w:tcW w:type="dxa" w:w="259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分母為該題有效數 n_i</w:t>
            </w:r>
          </w:p>
        </w:tc>
        <w:tc>
          <w:tcPr>
            <w:tcW w:type="dxa" w:w="152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各題得分計算</w:t>
            </w:r>
          </w:p>
        </w:tc>
        <w:tc>
          <w:tcPr>
            <w:tcW w:type="dxa" w:w="213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REP-0121-009-Q01..Q10</w:t>
            </w:r>
          </w:p>
        </w:tc>
      </w:tr>
      <w:tr>
        <w:trPr>
          <w:cantSplit/>
        </w:trPr>
        <w:tc>
          <w:tcPr>
            <w:tcW w:type="dxa" w:w="198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綜合總平均分數</w:t>
            </w:r>
          </w:p>
        </w:tc>
        <w:tc>
          <w:tcPr>
            <w:tcW w:type="dxa" w:w="2287"/>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X̄_ALL</w:t>
            </w:r>
          </w:p>
        </w:tc>
        <w:tc>
          <w:tcPr>
            <w:tcW w:type="dxa" w:w="137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等距連續 (1–5)</w:t>
            </w:r>
          </w:p>
        </w:tc>
        <w:tc>
          <w:tcPr>
            <w:tcW w:type="dxa" w:w="335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(Σ_j=1^N_COMPOSITE Σ_i=1^10 X_ij) / (有效總填答題數)</w:t>
            </w:r>
          </w:p>
        </w:tc>
        <w:tc>
          <w:tcPr>
            <w:tcW w:type="dxa" w:w="259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僅採計納入綜合評估之完整卷（N=8）</w:t>
            </w:r>
          </w:p>
        </w:tc>
        <w:tc>
          <w:tcPr>
            <w:tcW w:type="dxa" w:w="152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總表運算</w:t>
            </w:r>
          </w:p>
        </w:tc>
        <w:tc>
          <w:tcPr>
            <w:tcW w:type="dxa" w:w="213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REP-0121-010</w:t>
            </w:r>
          </w:p>
        </w:tc>
      </w:tr>
      <w:tr>
        <w:trPr>
          <w:cantSplit/>
        </w:trPr>
        <w:tc>
          <w:tcPr>
            <w:tcW w:type="dxa" w:w="198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技能實作任務得分</w:t>
            </w:r>
          </w:p>
        </w:tc>
        <w:tc>
          <w:tcPr>
            <w:tcW w:type="dxa" w:w="2287"/>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T_k</w:t>
            </w:r>
          </w:p>
        </w:tc>
        <w:tc>
          <w:tcPr>
            <w:tcW w:type="dxa" w:w="137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離散分段 (0/10/20)</w:t>
            </w:r>
          </w:p>
        </w:tc>
        <w:tc>
          <w:tcPr>
            <w:tcW w:type="dxa" w:w="335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依據客觀檢核表現評定（0=未達, 10=部分, 20=完整）</w:t>
            </w:r>
          </w:p>
        </w:tc>
        <w:tc>
          <w:tcPr>
            <w:tcW w:type="dxa" w:w="259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缺考者標註為 ABS，不計入平均</w:t>
            </w:r>
          </w:p>
        </w:tc>
        <w:tc>
          <w:tcPr>
            <w:tcW w:type="dxa" w:w="152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技能評分表</w:t>
            </w:r>
          </w:p>
        </w:tc>
        <w:tc>
          <w:tcPr>
            <w:tcW w:type="dxa" w:w="213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REP-0121-011</w:t>
            </w:r>
          </w:p>
        </w:tc>
      </w:tr>
      <w:tr>
        <w:trPr>
          <w:cantSplit/>
        </w:trPr>
        <w:tc>
          <w:tcPr>
            <w:tcW w:type="dxa" w:w="198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技能總分</w:t>
            </w:r>
          </w:p>
        </w:tc>
        <w:tc>
          <w:tcPr>
            <w:tcW w:type="dxa" w:w="2287"/>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Score_TOTAL</w:t>
            </w:r>
          </w:p>
        </w:tc>
        <w:tc>
          <w:tcPr>
            <w:tcW w:type="dxa" w:w="137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區間數值 (0–100)</w:t>
            </w:r>
          </w:p>
        </w:tc>
        <w:tc>
          <w:tcPr>
            <w:tcW w:type="dxa" w:w="335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Σ_k=1^5 T_k（五項任務分數加總）</w:t>
            </w:r>
          </w:p>
        </w:tc>
        <w:tc>
          <w:tcPr>
            <w:tcW w:type="dxa" w:w="259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任一任務缺考則總分無效</w:t>
            </w:r>
          </w:p>
        </w:tc>
        <w:tc>
          <w:tcPr>
            <w:tcW w:type="dxa" w:w="152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技能成績冊</w:t>
            </w:r>
          </w:p>
        </w:tc>
        <w:tc>
          <w:tcPr>
            <w:tcW w:type="dxa" w:w="213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REP-0121-012</w:t>
            </w:r>
          </w:p>
        </w:tc>
      </w:tr>
      <w:tr>
        <w:trPr>
          <w:cantSplit/>
        </w:trPr>
        <w:tc>
          <w:tcPr>
            <w:tcW w:type="dxa" w:w="198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實作通過判定</w:t>
            </w:r>
          </w:p>
        </w:tc>
        <w:tc>
          <w:tcPr>
            <w:tcW w:type="dxa" w:w="2287"/>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PASS_STATUS</w:t>
            </w:r>
          </w:p>
        </w:tc>
        <w:tc>
          <w:tcPr>
            <w:tcW w:type="dxa" w:w="137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二元類別 (合格/不合格)</w:t>
            </w:r>
          </w:p>
        </w:tc>
        <w:tc>
          <w:tcPr>
            <w:tcW w:type="dxa" w:w="335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若 Score_POST  ≥  70 則為合格，否則不合格</w:t>
            </w:r>
          </w:p>
        </w:tc>
        <w:tc>
          <w:tcPr>
            <w:tcW w:type="dxa" w:w="259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70 分為【SAMPLE】模擬門檻，待協會核定</w:t>
            </w:r>
          </w:p>
        </w:tc>
        <w:tc>
          <w:tcPr>
            <w:tcW w:type="dxa" w:w="152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考核決策表</w:t>
            </w:r>
          </w:p>
        </w:tc>
        <w:tc>
          <w:tcPr>
            <w:tcW w:type="dxa" w:w="213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REP-0121-013</w:t>
            </w:r>
          </w:p>
        </w:tc>
      </w:tr>
      <w:tr>
        <w:trPr>
          <w:cantSplit/>
        </w:trPr>
        <w:tc>
          <w:tcPr>
            <w:tcW w:type="dxa" w:w="198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實作成對進步幅度</w:t>
            </w:r>
          </w:p>
        </w:tc>
        <w:tc>
          <w:tcPr>
            <w:tcW w:type="dxa" w:w="2287"/>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Δ X̄_PAIRED</w:t>
            </w:r>
          </w:p>
        </w:tc>
        <w:tc>
          <w:tcPr>
            <w:tcW w:type="dxa" w:w="137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數值 (分)</w:t>
            </w:r>
          </w:p>
        </w:tc>
        <w:tc>
          <w:tcPr>
            <w:tcW w:type="dxa" w:w="335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(Σ (Score_POST, j - Score_PRE, j)) / (N_PAIRED)</w:t>
            </w:r>
          </w:p>
        </w:tc>
        <w:tc>
          <w:tcPr>
            <w:tcW w:type="dxa" w:w="259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僅計算同時具備前後測之樣本（N=8）</w:t>
            </w:r>
          </w:p>
        </w:tc>
        <w:tc>
          <w:tcPr>
            <w:tcW w:type="dxa" w:w="152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前後測比對表</w:t>
            </w:r>
          </w:p>
        </w:tc>
        <w:tc>
          <w:tcPr>
            <w:tcW w:type="dxa" w:w="213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REP-0121-014</w:t>
            </w:r>
          </w:p>
        </w:tc>
      </w:tr>
    </w:tbl>
    <w:p>
      <w:pPr>
        <w:spacing w:after="20"/>
      </w:pPr>
    </w:p>
    <w:p>
      <w:pPr>
        <w:pStyle w:val="Heading1"/>
      </w:pPr>
      <w:r>
        <w:rPr>
          <w:rFonts w:ascii="Microsoft JhengHei" w:hAnsi="Microsoft JhengHei" w:eastAsia="Microsoft JhengHei"/>
          <w:b w:val="0"/>
          <w:sz w:val="30"/>
        </w:rPr>
        <w:t>5. 學員滿意度調查問卷工具（Satisfaction Instrument Specification）</w:t>
      </w:r>
    </w:p>
    <w:p>
      <w:r>
        <w:rPr>
          <w:rFonts w:ascii="Microsoft JhengHei" w:hAnsi="Microsoft JhengHei" w:eastAsia="Microsoft JhengHei"/>
          <w:b w:val="0"/>
          <w:sz w:val="21"/>
        </w:rPr>
        <w:t>本問卷為 SAMPLE / SYNTHETIC 示範工具草案，用於展示如何蒐集學員對課程設計、教學執行、實作支持與行政支援的回饋；不表示原始點協會曾召開會議、核定此工具或實際施測。</w:t>
      </w:r>
    </w:p>
    <w:p>
      <w:pPr>
        <w:pStyle w:val="Heading2"/>
      </w:pPr>
      <w:r>
        <w:rPr>
          <w:rFonts w:ascii="Microsoft JhengHei" w:hAnsi="Microsoft JhengHei" w:eastAsia="Microsoft JhengHei"/>
          <w:b w:val="0"/>
          <w:sz w:val="25"/>
        </w:rPr>
        <w:t>5.1 量表設計規範與指導語</w:t>
      </w:r>
    </w:p>
    <w:p>
      <w:r>
        <w:rPr>
          <w:rFonts w:ascii="Microsoft JhengHei" w:hAnsi="Microsoft JhengHei" w:eastAsia="Microsoft JhengHei"/>
          <w:b w:val="0"/>
          <w:sz w:val="21"/>
        </w:rPr>
        <w:t>本工具含 10 題計分量表題及 Q11–Q12 兩題選答式開放題。問卷完整度門檻、逐題統計與綜合指標僅以 Q01–Q10 計算；開放題不補分、不作為完整卷門檻。</w:t>
      </w:r>
    </w:p>
    <w:p>
      <w:pPr>
        <w:pStyle w:val="ListBullet"/>
        <w:ind w:left="403" w:hanging="216"/>
      </w:pPr>
      <w:r>
        <w:rPr>
          <w:rFonts w:ascii="Microsoft JhengHei" w:hAnsi="Microsoft JhengHei" w:eastAsia="Microsoft JhengHei"/>
          <w:b/>
          <w:sz w:val="21"/>
        </w:rPr>
        <w:t>量尺級距</w:t>
      </w:r>
      <w:r>
        <w:rPr>
          <w:rFonts w:ascii="Microsoft JhengHei" w:hAnsi="Microsoft JhengHei" w:eastAsia="Microsoft JhengHei"/>
          <w:b w:val="0"/>
          <w:sz w:val="21"/>
        </w:rPr>
        <w:t>：採標準李克特五點量表（Likert 5-point scale），定義如下：</w:t>
      </w:r>
    </w:p>
    <w:p>
      <w:pPr>
        <w:pStyle w:val="ListBullet"/>
        <w:ind w:left="749" w:hanging="216"/>
      </w:pPr>
      <w:r>
        <w:rPr>
          <w:rFonts w:ascii="Microsoft JhengHei" w:hAnsi="Microsoft JhengHei" w:eastAsia="Microsoft JhengHei"/>
          <w:b w:val="0"/>
          <w:sz w:val="21"/>
        </w:rPr>
        <w:t>5：非常同意（Strongly Agree）／非常滿意（Very Satisfied）</w:t>
      </w:r>
    </w:p>
    <w:p>
      <w:pPr>
        <w:pStyle w:val="ListBullet"/>
        <w:ind w:left="749" w:hanging="216"/>
      </w:pPr>
      <w:r>
        <w:rPr>
          <w:rFonts w:ascii="Microsoft JhengHei" w:hAnsi="Microsoft JhengHei" w:eastAsia="Microsoft JhengHei"/>
          <w:b w:val="0"/>
          <w:sz w:val="21"/>
        </w:rPr>
        <w:t>4：同意（Agree）／滿意（Satisfied）</w:t>
      </w:r>
    </w:p>
    <w:p>
      <w:pPr>
        <w:pStyle w:val="ListBullet"/>
        <w:ind w:left="749" w:hanging="216"/>
      </w:pPr>
      <w:r>
        <w:rPr>
          <w:rFonts w:ascii="Microsoft JhengHei" w:hAnsi="Microsoft JhengHei" w:eastAsia="Microsoft JhengHei"/>
          <w:b w:val="0"/>
          <w:sz w:val="21"/>
        </w:rPr>
        <w:t>3：普通／尚可（Neutral / Acceptable）</w:t>
      </w:r>
    </w:p>
    <w:p>
      <w:pPr>
        <w:pStyle w:val="ListBullet"/>
        <w:ind w:left="749" w:hanging="216"/>
      </w:pPr>
      <w:r>
        <w:rPr>
          <w:rFonts w:ascii="Microsoft JhengHei" w:hAnsi="Microsoft JhengHei" w:eastAsia="Microsoft JhengHei"/>
          <w:b w:val="0"/>
          <w:sz w:val="21"/>
        </w:rPr>
        <w:t>2：不同意（Disagree）／不滿意（Dissatisfied）</w:t>
      </w:r>
    </w:p>
    <w:p>
      <w:pPr>
        <w:pStyle w:val="ListBullet"/>
        <w:ind w:left="749" w:hanging="216"/>
      </w:pPr>
      <w:r>
        <w:rPr>
          <w:rFonts w:ascii="Microsoft JhengHei" w:hAnsi="Microsoft JhengHei" w:eastAsia="Microsoft JhengHei"/>
          <w:b w:val="0"/>
          <w:sz w:val="21"/>
        </w:rPr>
        <w:t>1：非常不同意（Strongly Disagree）／非常不滿意（Very Dissatisfied）</w:t>
      </w:r>
    </w:p>
    <w:p>
      <w:pPr>
        <w:pStyle w:val="ListBullet"/>
        <w:ind w:left="749" w:hanging="216"/>
      </w:pPr>
      <w:r>
        <w:rPr>
          <w:rFonts w:ascii="Microsoft JhengHei" w:hAnsi="Microsoft JhengHei" w:eastAsia="Microsoft JhengHei"/>
          <w:b w:val="0"/>
          <w:sz w:val="21"/>
        </w:rPr>
        <w:t>N/A：不適用（Not Applicable）— 若題項所述情境學員未曾體驗或無法評判，請勾選此項。</w:t>
      </w:r>
      <w:r>
        <w:rPr>
          <w:rFonts w:ascii="Microsoft JhengHei" w:hAnsi="Microsoft JhengHei" w:eastAsia="Microsoft JhengHei"/>
          <w:b/>
          <w:sz w:val="21"/>
        </w:rPr>
        <w:t>計算時系統自動自該題分母剔除，絕不計為 0 分。</w:t>
      </w:r>
    </w:p>
    <w:p>
      <w:pPr>
        <w:pStyle w:val="ListBullet"/>
        <w:ind w:left="403" w:hanging="216"/>
      </w:pPr>
      <w:r>
        <w:rPr>
          <w:rFonts w:ascii="Microsoft JhengHei" w:hAnsi="Microsoft JhengHei" w:eastAsia="Microsoft JhengHei"/>
          <w:b/>
          <w:sz w:val="21"/>
        </w:rPr>
        <w:t>防呆與檢核規則</w:t>
      </w:r>
      <w:r>
        <w:rPr>
          <w:rFonts w:ascii="Microsoft JhengHei" w:hAnsi="Microsoft JhengHei" w:eastAsia="Microsoft JhengHei"/>
          <w:b w:val="0"/>
          <w:sz w:val="21"/>
        </w:rPr>
        <w:t>：</w:t>
      </w:r>
    </w:p>
    <w:p>
      <w:pPr>
        <w:ind w:left="403" w:hanging="317"/>
      </w:pPr>
      <w:r>
        <w:rPr>
          <w:rFonts w:ascii="Microsoft JhengHei" w:hAnsi="Microsoft JhengHei" w:eastAsia="Microsoft JhengHei"/>
          <w:b w:val="0"/>
          <w:sz w:val="21"/>
        </w:rPr>
        <w:t>1. 每題限選一個選項；若單題複選且無法辨識原意，該題視為無效遺漏值。</w:t>
      </w:r>
    </w:p>
    <w:p>
      <w:pPr>
        <w:ind w:left="403" w:hanging="317"/>
      </w:pPr>
      <w:r>
        <w:rPr>
          <w:rFonts w:ascii="Microsoft JhengHei" w:hAnsi="Microsoft JhengHei" w:eastAsia="Microsoft JhengHei"/>
          <w:b w:val="0"/>
          <w:sz w:val="21"/>
        </w:rPr>
        <w:t>2. 總題數 10 題中，若填答題數小於 8 題，系統將不納入「個人綜合平均分數」與「整體綜合滿意度指標」，僅供個別題項統計參考。</w:t>
      </w:r>
    </w:p>
    <w:p>
      <w:pPr>
        <w:pStyle w:val="Heading2"/>
      </w:pPr>
      <w:r>
        <w:rPr>
          <w:rFonts w:ascii="Microsoft JhengHei" w:hAnsi="Microsoft JhengHei" w:eastAsia="Microsoft JhengHei"/>
          <w:b w:val="0"/>
          <w:sz w:val="25"/>
        </w:rPr>
        <w:t>5.2 問卷完整十題題綱與向度架構</w:t>
      </w:r>
    </w:p>
    <w:p>
      <w:r>
        <w:rPr>
          <w:rFonts w:ascii="Microsoft JhengHei" w:hAnsi="Microsoft JhengHei" w:eastAsia="Microsoft JhengHei"/>
          <w:b w:val="0"/>
          <w:sz w:val="21"/>
        </w:rPr>
        <w:t>問卷核心構面與具體題目表（滿意度量表版本編號：INST-SAT-2026-R01 [SAMPLE]）</w:t>
      </w:r>
    </w:p>
    <w:p>
      <w:r>
        <w:rPr>
          <w:rFonts w:ascii="Microsoft JhengHei" w:hAnsi="Microsoft JhengHei" w:eastAsia="Microsoft JhengHei"/>
          <w:b w:val="0"/>
          <w:sz w:val="21"/>
        </w:rPr>
        <w:t>【課程設計與目標向度】</w:t>
      </w:r>
    </w:p>
    <w:p>
      <w:r>
        <w:rPr>
          <w:rFonts w:ascii="Microsoft JhengHei" w:hAnsi="Microsoft JhengHei" w:eastAsia="Microsoft JhengHei"/>
          <w:b w:val="0"/>
          <w:sz w:val="21"/>
        </w:rPr>
        <w:t>Q01. [實用性] 課程內容符合實際社區關懷服務之需求，具備實務應用價值。</w:t>
      </w:r>
    </w:p>
    <w:p>
      <w:r>
        <w:rPr>
          <w:rFonts w:ascii="Microsoft JhengHei" w:hAnsi="Microsoft JhengHei" w:eastAsia="Microsoft JhengHei"/>
          <w:b w:val="0"/>
          <w:sz w:val="21"/>
        </w:rPr>
        <w:t>Q02. [目標性] 培訓目標與關鍵技能操作標準說明清晰，使我清楚掌握學習重點。</w:t>
      </w:r>
    </w:p>
    <w:p>
      <w:r>
        <w:rPr>
          <w:rFonts w:ascii="Microsoft JhengHei" w:hAnsi="Microsoft JhengHei" w:eastAsia="Microsoft JhengHei"/>
          <w:b w:val="0"/>
          <w:sz w:val="21"/>
        </w:rPr>
        <w:t>【教學執行與師資向度】</w:t>
      </w:r>
    </w:p>
    <w:p>
      <w:r>
        <w:rPr>
          <w:rFonts w:ascii="Microsoft JhengHei" w:hAnsi="Microsoft JhengHei" w:eastAsia="Microsoft JhengHei"/>
          <w:b w:val="0"/>
          <w:sz w:val="21"/>
        </w:rPr>
        <w:t>Q03. [教學法] 講師講解深入淺出，能引導學員思考並耐心示範核心步驟。</w:t>
      </w:r>
    </w:p>
    <w:p>
      <w:r>
        <w:rPr>
          <w:rFonts w:ascii="Microsoft JhengHei" w:hAnsi="Microsoft JhengHei" w:eastAsia="Microsoft JhengHei"/>
          <w:b w:val="0"/>
          <w:sz w:val="21"/>
        </w:rPr>
        <w:t>Q04. [教材度] 講義手冊與輔助圖卡編排清晰，步驟明確易於查閱與複習。</w:t>
      </w:r>
    </w:p>
    <w:p>
      <w:r>
        <w:rPr>
          <w:rFonts w:ascii="Microsoft JhengHei" w:hAnsi="Microsoft JhengHei" w:eastAsia="Microsoft JhengHei"/>
          <w:b w:val="0"/>
          <w:sz w:val="21"/>
        </w:rPr>
        <w:t>【實作演練與互動向度】</w:t>
      </w:r>
    </w:p>
    <w:p>
      <w:r>
        <w:rPr>
          <w:rFonts w:ascii="Microsoft JhengHei" w:hAnsi="Microsoft JhengHei" w:eastAsia="Microsoft JhengHei"/>
          <w:b w:val="0"/>
          <w:sz w:val="21"/>
        </w:rPr>
        <w:t>Q05. [練習量] 課堂安排之實作演練時間充足，分組互動與講師即時指導機會充分。</w:t>
      </w:r>
    </w:p>
    <w:p>
      <w:r>
        <w:rPr>
          <w:rFonts w:ascii="Microsoft JhengHei" w:hAnsi="Microsoft JhengHei" w:eastAsia="Microsoft JhengHei"/>
          <w:b w:val="0"/>
          <w:sz w:val="21"/>
        </w:rPr>
        <w:t>Q06. [環境度] 培訓場地空間寬敞、採光通風良好，實作設備與輔助器材維護完好。</w:t>
      </w:r>
    </w:p>
    <w:p>
      <w:r>
        <w:rPr>
          <w:rFonts w:ascii="Microsoft JhengHei" w:hAnsi="Microsoft JhengHei" w:eastAsia="Microsoft JhengHei"/>
          <w:b w:val="0"/>
          <w:sz w:val="21"/>
        </w:rPr>
        <w:t>【評量公正與應用信心向度】</w:t>
      </w:r>
    </w:p>
    <w:p>
      <w:r>
        <w:rPr>
          <w:rFonts w:ascii="Microsoft JhengHei" w:hAnsi="Microsoft JhengHei" w:eastAsia="Microsoft JhengHei"/>
          <w:b w:val="0"/>
          <w:sz w:val="21"/>
        </w:rPr>
        <w:t>Q07. [評量性] 課堂技能實作評量方式公正客觀，評分規準說明清楚且符合教學進度。</w:t>
      </w:r>
    </w:p>
    <w:p>
      <w:r>
        <w:rPr>
          <w:rFonts w:ascii="Microsoft JhengHei" w:hAnsi="Microsoft JhengHei" w:eastAsia="Microsoft JhengHei"/>
          <w:b w:val="0"/>
          <w:sz w:val="21"/>
        </w:rPr>
        <w:t>Q08. [信心度] 完成本次培訓後，我有信心在未來的服務現場獨立操作所學技能。</w:t>
      </w:r>
    </w:p>
    <w:p>
      <w:r>
        <w:rPr>
          <w:rFonts w:ascii="Microsoft JhengHei" w:hAnsi="Microsoft JhengHei" w:eastAsia="Microsoft JhengHei"/>
          <w:b w:val="0"/>
          <w:sz w:val="21"/>
        </w:rPr>
        <w:t>【總體成效與後勤行政向度】</w:t>
      </w:r>
    </w:p>
    <w:p>
      <w:r>
        <w:rPr>
          <w:rFonts w:ascii="Microsoft JhengHei" w:hAnsi="Microsoft JhengHei" w:eastAsia="Microsoft JhengHei"/>
          <w:b w:val="0"/>
          <w:sz w:val="21"/>
        </w:rPr>
        <w:t>Q09. [整體度] 總體而言，我對本次培訓課程的規劃、執行與成效感到滿意。</w:t>
      </w:r>
    </w:p>
    <w:p>
      <w:r>
        <w:rPr>
          <w:rFonts w:ascii="Microsoft JhengHei" w:hAnsi="Microsoft JhengHei" w:eastAsia="Microsoft JhengHei"/>
          <w:b w:val="0"/>
          <w:sz w:val="21"/>
        </w:rPr>
        <w:t>Q10. [行政度] 課程班務人員態度親切，報到、分組、物資發放等後勤行政支援周到。</w:t>
      </w:r>
    </w:p>
    <w:p>
      <w:r>
        <w:rPr>
          <w:rFonts w:ascii="Microsoft JhengHei" w:hAnsi="Microsoft JhengHei" w:eastAsia="Microsoft JhengHei"/>
          <w:b w:val="0"/>
          <w:sz w:val="21"/>
        </w:rPr>
        <w:t>【開放式質性回饋題】</w:t>
      </w:r>
    </w:p>
    <w:p>
      <w:r>
        <w:rPr>
          <w:rFonts w:ascii="Microsoft JhengHei" w:hAnsi="Microsoft JhengHei" w:eastAsia="Microsoft JhengHei"/>
          <w:b w:val="0"/>
          <w:sz w:val="21"/>
        </w:rPr>
        <w:t>Q11. 您認為本次培訓對您最有幫助的技能或單元為何？為什麼？</w:t>
      </w:r>
    </w:p>
    <w:p>
      <w:r>
        <w:rPr>
          <w:rFonts w:ascii="Microsoft JhengHei" w:hAnsi="Microsoft JhengHei" w:eastAsia="Microsoft JhengHei"/>
          <w:b w:val="0"/>
          <w:sz w:val="21"/>
        </w:rPr>
        <w:t>Q12. 您認為未來開課時，最需要優先改善或增加演練時間的部分為何？請具體說明。</w:t>
      </w:r>
    </w:p>
    <w:p>
      <w:pPr>
        <w:pStyle w:val="Heading1"/>
      </w:pPr>
      <w:r>
        <w:rPr>
          <w:rFonts w:ascii="Microsoft JhengHei" w:hAnsi="Microsoft JhengHei" w:eastAsia="Microsoft JhengHei"/>
          <w:b w:val="0"/>
          <w:sz w:val="30"/>
        </w:rPr>
        <w:t>6. 滿意度原始回覆資料矩陣與流向勾稽（Response Data &amp; Reconciliation）</w:t>
      </w:r>
    </w:p>
    <w:p>
      <w:pPr>
        <w:pStyle w:val="Heading2"/>
      </w:pPr>
      <w:r>
        <w:rPr>
          <w:rFonts w:ascii="Microsoft JhengHei" w:hAnsi="Microsoft JhengHei" w:eastAsia="Microsoft JhengHei"/>
          <w:b w:val="0"/>
          <w:sz w:val="25"/>
        </w:rPr>
        <w:t>6.1 樣本回收與有效性流向勾稽表（Response Flow Reconciliation）</w:t>
      </w:r>
    </w:p>
    <w:p>
      <w:r>
        <w:rPr>
          <w:rFonts w:ascii="Microsoft JhengHei" w:hAnsi="Microsoft JhengHei" w:eastAsia="Microsoft JhengHei"/>
          <w:b w:val="0"/>
          <w:sz w:val="21"/>
        </w:rPr>
        <w:t>下表為本文件虛構的 SAMPLE / SYNTHETIC 流向例，供讀者練習核對分母；並非原始點協會的實際問卷回收或稽核紀錄：</w:t>
      </w:r>
    </w:p>
    <w:tbl>
      <w:tblPr>
        <w:tblW w:type="auto" w:w="0"/>
        <w:jc w:val="center"/>
        <w:tblLayout w:type="fixed"/>
        <w:tblLook w:firstColumn="1" w:firstRow="1" w:lastColumn="0" w:lastRow="0" w:noHBand="0" w:noVBand="1" w:val="04A0"/>
      </w:tblPr>
      <w:tblGrid>
        <w:gridCol w:w="3812"/>
        <w:gridCol w:w="3812"/>
        <w:gridCol w:w="3812"/>
        <w:gridCol w:w="3812"/>
      </w:tblGrid>
      <w:tr>
        <w:trPr>
          <w:cantSplit/>
          <w:tblHeader w:val="true"/>
        </w:trPr>
        <w:tc>
          <w:tcPr>
            <w:tcW w:type="dxa" w:w="3994"/>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階段流向項目</w:t>
            </w:r>
          </w:p>
        </w:tc>
        <w:tc>
          <w:tcPr>
            <w:tcW w:type="dxa" w:w="1452"/>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樣本人數</w:t>
            </w:r>
          </w:p>
        </w:tc>
        <w:tc>
          <w:tcPr>
            <w:tcW w:type="dxa" w:w="2179"/>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佔總邀請比率 (%)</w:t>
            </w:r>
          </w:p>
        </w:tc>
        <w:tc>
          <w:tcPr>
            <w:tcW w:type="dxa" w:w="7625"/>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狀態說明與統計處理決策</w:t>
            </w:r>
          </w:p>
        </w:tc>
      </w:tr>
      <w:tr>
        <w:trPr>
          <w:cantSplit/>
        </w:trPr>
        <w:tc>
          <w:tcPr>
            <w:tcW w:type="dxa" w:w="3994"/>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總邀請受訓學員（N_INVITED）</w:t>
            </w:r>
          </w:p>
        </w:tc>
        <w:tc>
          <w:tcPr>
            <w:tcW w:type="dxa" w:w="145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10</w:t>
            </w:r>
          </w:p>
        </w:tc>
        <w:tc>
          <w:tcPr>
            <w:tcW w:type="dxa" w:w="21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100.0%</w:t>
            </w:r>
          </w:p>
        </w:tc>
        <w:tc>
          <w:tcPr>
            <w:tcW w:type="dxa" w:w="762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名冊編號 P01 至 P10 之受邀代碼；P10 本例未出席，故不得稱 10 人均報到。</w:t>
            </w:r>
          </w:p>
        </w:tc>
      </w:tr>
      <w:tr>
        <w:trPr>
          <w:cantSplit/>
        </w:trPr>
        <w:tc>
          <w:tcPr>
            <w:tcW w:type="dxa" w:w="3994"/>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實收回覆問卷（N_RETURN）</w:t>
            </w:r>
          </w:p>
        </w:tc>
        <w:tc>
          <w:tcPr>
            <w:tcW w:type="dxa" w:w="145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9</w:t>
            </w:r>
          </w:p>
        </w:tc>
        <w:tc>
          <w:tcPr>
            <w:tcW w:type="dxa" w:w="21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90.0%</w:t>
            </w:r>
          </w:p>
        </w:tc>
        <w:tc>
          <w:tcPr>
            <w:tcW w:type="dxa" w:w="762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本例 9 份合成回覆（9 ÷ 10 = 90.0%）；不是協會回收紀錄。</w:t>
            </w:r>
          </w:p>
        </w:tc>
      </w:tr>
      <w:tr>
        <w:trPr>
          <w:cantSplit/>
        </w:trPr>
        <w:tc>
          <w:tcPr>
            <w:tcW w:type="dxa" w:w="3994"/>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未回覆／未繳卷（Non-response）</w:t>
            </w:r>
          </w:p>
        </w:tc>
        <w:tc>
          <w:tcPr>
            <w:tcW w:type="dxa" w:w="145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1</w:t>
            </w:r>
          </w:p>
        </w:tc>
        <w:tc>
          <w:tcPr>
            <w:tcW w:type="dxa" w:w="21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10.0%</w:t>
            </w:r>
          </w:p>
        </w:tc>
        <w:tc>
          <w:tcPr>
            <w:tcW w:type="dxa" w:w="762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學員 P10 未出席示範課程且無回覆，標註為 MISSING_ALL。</w:t>
            </w:r>
          </w:p>
        </w:tc>
      </w:tr>
      <w:tr>
        <w:trPr>
          <w:cantSplit/>
        </w:trPr>
        <w:tc>
          <w:tcPr>
            <w:tcW w:type="dxa" w:w="3994"/>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完整填答卷（納入綜合滿意度指標）</w:t>
            </w:r>
          </w:p>
        </w:tc>
        <w:tc>
          <w:tcPr>
            <w:tcW w:type="dxa" w:w="145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8</w:t>
            </w:r>
          </w:p>
        </w:tc>
        <w:tc>
          <w:tcPr>
            <w:tcW w:type="dxa" w:w="21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80.0%</w:t>
            </w:r>
          </w:p>
        </w:tc>
        <w:tc>
          <w:tcPr>
            <w:tcW w:type="dxa" w:w="762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學員 P01 至 P08 均完成 10 題作答（完成度 10/10  ≥  8 題）。</w:t>
            </w:r>
          </w:p>
        </w:tc>
      </w:tr>
      <w:tr>
        <w:trPr>
          <w:cantSplit/>
        </w:trPr>
        <w:tc>
          <w:tcPr>
            <w:tcW w:type="dxa" w:w="3994"/>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部分填答卷（排除綜合，計入單題）</w:t>
            </w:r>
          </w:p>
        </w:tc>
        <w:tc>
          <w:tcPr>
            <w:tcW w:type="dxa" w:w="145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1</w:t>
            </w:r>
          </w:p>
        </w:tc>
        <w:tc>
          <w:tcPr>
            <w:tcW w:type="dxa" w:w="21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10.0%</w:t>
            </w:r>
          </w:p>
        </w:tc>
        <w:tc>
          <w:tcPr>
            <w:tcW w:type="dxa" w:w="762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學員 P09 僅完成前 6 題（6/10 題），後 4 題漏填。未達 8 題門檻，排除於綜合平均，但 Q01–Q06 納入各題計算。</w:t>
            </w:r>
          </w:p>
        </w:tc>
      </w:tr>
      <w:tr>
        <w:trPr>
          <w:cantSplit/>
        </w:trPr>
        <w:tc>
          <w:tcPr>
            <w:tcW w:type="dxa" w:w="3994"/>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全卷無效／惡意廢卷</w:t>
            </w:r>
          </w:p>
        </w:tc>
        <w:tc>
          <w:tcPr>
            <w:tcW w:type="dxa" w:w="145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0</w:t>
            </w:r>
          </w:p>
        </w:tc>
        <w:tc>
          <w:tcPr>
            <w:tcW w:type="dxa" w:w="21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0.0%</w:t>
            </w:r>
          </w:p>
        </w:tc>
        <w:tc>
          <w:tcPr>
            <w:tcW w:type="dxa" w:w="762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經人工檢視，無全卷一致性規律填答或惡意塗改情況。</w:t>
            </w:r>
          </w:p>
        </w:tc>
      </w:tr>
      <w:tr>
        <w:trPr>
          <w:cantSplit/>
        </w:trPr>
        <w:tc>
          <w:tcPr>
            <w:tcW w:type="dxa" w:w="3994"/>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勾稽檢核恆等式（Reconciliation Check）</w:t>
            </w:r>
          </w:p>
        </w:tc>
        <w:tc>
          <w:tcPr>
            <w:tcW w:type="dxa" w:w="145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符合</w:t>
            </w:r>
          </w:p>
        </w:tc>
        <w:tc>
          <w:tcPr>
            <w:tcW w:type="dxa" w:w="21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100.0%</w:t>
            </w:r>
          </w:p>
        </w:tc>
        <w:tc>
          <w:tcPr>
            <w:tcW w:type="dxa" w:w="762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N_INVITED (10) = N_COMPOSITE (8) + N_PARTIAL (1) + N_NON_RESP (1)。算術完全平衡。</w:t>
            </w:r>
          </w:p>
        </w:tc>
      </w:tr>
    </w:tbl>
    <w:p>
      <w:pPr>
        <w:spacing w:after="20"/>
      </w:pPr>
    </w:p>
    <w:p>
      <w:pPr>
        <w:pStyle w:val="Heading2"/>
      </w:pPr>
      <w:r>
        <w:rPr>
          <w:rFonts w:ascii="Microsoft JhengHei" w:hAnsi="Microsoft JhengHei" w:eastAsia="Microsoft JhengHei"/>
          <w:b w:val="0"/>
          <w:sz w:val="25"/>
        </w:rPr>
        <w:t>6.2 代碼化學員滿意度逐筆填答矩陣（Raw Response Matrix）</w:t>
      </w:r>
    </w:p>
    <w:p>
      <w:r>
        <w:rPr>
          <w:rFonts w:ascii="Microsoft JhengHei" w:hAnsi="Microsoft JhengHei" w:eastAsia="Microsoft JhengHei"/>
          <w:b w:val="0"/>
          <w:sz w:val="21"/>
        </w:rPr>
        <w:t>下表為 10 個受邀代碼的合成回覆矩陣，可由讀者逐列、逐題重算；它不是實際學員原始問卷。</w:t>
      </w:r>
    </w:p>
    <w:tbl>
      <w:tblPr>
        <w:tblW w:type="auto" w:w="0"/>
        <w:jc w:val="center"/>
        <w:tblLayout w:type="fixed"/>
        <w:tblLook w:firstColumn="1" w:firstRow="1" w:lastColumn="0" w:lastRow="0" w:noHBand="0" w:noVBand="1" w:val="04A0"/>
      </w:tblPr>
      <w:tblGrid>
        <w:gridCol w:w="1089"/>
        <w:gridCol w:w="1089"/>
        <w:gridCol w:w="1089"/>
        <w:gridCol w:w="1089"/>
        <w:gridCol w:w="1089"/>
        <w:gridCol w:w="1089"/>
        <w:gridCol w:w="1089"/>
        <w:gridCol w:w="1089"/>
        <w:gridCol w:w="1089"/>
        <w:gridCol w:w="1089"/>
        <w:gridCol w:w="1089"/>
        <w:gridCol w:w="1089"/>
        <w:gridCol w:w="1089"/>
        <w:gridCol w:w="1089"/>
      </w:tblGrid>
      <w:tr>
        <w:trPr>
          <w:cantSplit/>
          <w:tblHeader w:val="true"/>
        </w:trPr>
        <w:tc>
          <w:tcPr>
            <w:tcW w:type="dxa" w:w="1366"/>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學員代碼</w:t>
            </w:r>
          </w:p>
        </w:tc>
        <w:tc>
          <w:tcPr>
            <w:tcW w:type="dxa" w:w="79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Q01 (實用)</w:t>
            </w:r>
          </w:p>
        </w:tc>
        <w:tc>
          <w:tcPr>
            <w:tcW w:type="dxa" w:w="79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Q02 (目標)</w:t>
            </w:r>
          </w:p>
        </w:tc>
        <w:tc>
          <w:tcPr>
            <w:tcW w:type="dxa" w:w="79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Q03 (教學)</w:t>
            </w:r>
          </w:p>
        </w:tc>
        <w:tc>
          <w:tcPr>
            <w:tcW w:type="dxa" w:w="79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Q04 (教材)</w:t>
            </w:r>
          </w:p>
        </w:tc>
        <w:tc>
          <w:tcPr>
            <w:tcW w:type="dxa" w:w="79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Q05 (練習)</w:t>
            </w:r>
          </w:p>
        </w:tc>
        <w:tc>
          <w:tcPr>
            <w:tcW w:type="dxa" w:w="79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Q06 (環境)</w:t>
            </w:r>
          </w:p>
        </w:tc>
        <w:tc>
          <w:tcPr>
            <w:tcW w:type="dxa" w:w="79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Q07 (評量)</w:t>
            </w:r>
          </w:p>
        </w:tc>
        <w:tc>
          <w:tcPr>
            <w:tcW w:type="dxa" w:w="79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Q08 (信心)</w:t>
            </w:r>
          </w:p>
        </w:tc>
        <w:tc>
          <w:tcPr>
            <w:tcW w:type="dxa" w:w="79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Q09 (整體)</w:t>
            </w:r>
          </w:p>
        </w:tc>
        <w:tc>
          <w:tcPr>
            <w:tcW w:type="dxa" w:w="79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Q10 (行政)</w:t>
            </w:r>
          </w:p>
        </w:tc>
        <w:tc>
          <w:tcPr>
            <w:tcW w:type="dxa" w:w="1593"/>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個人填答題數</w:t>
            </w:r>
          </w:p>
        </w:tc>
        <w:tc>
          <w:tcPr>
            <w:tcW w:type="dxa" w:w="1821"/>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個人綜合平均</w:t>
            </w:r>
          </w:p>
        </w:tc>
        <w:tc>
          <w:tcPr>
            <w:tcW w:type="dxa" w:w="2504"/>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綜合指標納入狀態</w:t>
            </w:r>
          </w:p>
        </w:tc>
      </w:tr>
      <w:tr>
        <w:trPr>
          <w:cantSplit/>
        </w:trPr>
        <w:tc>
          <w:tcPr>
            <w:tcW w:type="dxa" w:w="136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P01</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159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821"/>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4.60</w:t>
            </w:r>
          </w:p>
        </w:tc>
        <w:tc>
          <w:tcPr>
            <w:tcW w:type="dxa" w:w="2504"/>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納入（VALID）</w:t>
            </w:r>
          </w:p>
        </w:tc>
      </w:tr>
      <w:tr>
        <w:trPr>
          <w:cantSplit/>
        </w:trPr>
        <w:tc>
          <w:tcPr>
            <w:tcW w:type="dxa" w:w="136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P02</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3</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159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10</w:t>
            </w:r>
          </w:p>
        </w:tc>
        <w:tc>
          <w:tcPr>
            <w:tcW w:type="dxa" w:w="1821"/>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4.00</w:t>
            </w:r>
          </w:p>
        </w:tc>
        <w:tc>
          <w:tcPr>
            <w:tcW w:type="dxa" w:w="2504"/>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納入（VALID）</w:t>
            </w:r>
          </w:p>
        </w:tc>
      </w:tr>
      <w:tr>
        <w:trPr>
          <w:cantSplit/>
        </w:trPr>
        <w:tc>
          <w:tcPr>
            <w:tcW w:type="dxa" w:w="136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P03</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3</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159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821"/>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4.20</w:t>
            </w:r>
          </w:p>
        </w:tc>
        <w:tc>
          <w:tcPr>
            <w:tcW w:type="dxa" w:w="2504"/>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納入（VALID）</w:t>
            </w:r>
          </w:p>
        </w:tc>
      </w:tr>
      <w:tr>
        <w:trPr>
          <w:cantSplit/>
        </w:trPr>
        <w:tc>
          <w:tcPr>
            <w:tcW w:type="dxa" w:w="136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P04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3</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3</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3</w:t>
            </w:r>
          </w:p>
        </w:tc>
        <w:tc>
          <w:tcPr>
            <w:tcW w:type="dxa" w:w="159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10</w:t>
            </w:r>
          </w:p>
        </w:tc>
        <w:tc>
          <w:tcPr>
            <w:tcW w:type="dxa" w:w="1821"/>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3.80</w:t>
            </w:r>
          </w:p>
        </w:tc>
        <w:tc>
          <w:tcPr>
            <w:tcW w:type="dxa" w:w="2504"/>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納入（VALID）</w:t>
            </w:r>
          </w:p>
        </w:tc>
      </w:tr>
      <w:tr>
        <w:trPr>
          <w:cantSplit/>
        </w:trPr>
        <w:tc>
          <w:tcPr>
            <w:tcW w:type="dxa" w:w="136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P05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159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821"/>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4.80</w:t>
            </w:r>
          </w:p>
        </w:tc>
        <w:tc>
          <w:tcPr>
            <w:tcW w:type="dxa" w:w="2504"/>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納入（VALID）</w:t>
            </w:r>
          </w:p>
        </w:tc>
      </w:tr>
      <w:tr>
        <w:trPr>
          <w:cantSplit/>
        </w:trPr>
        <w:tc>
          <w:tcPr>
            <w:tcW w:type="dxa" w:w="136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P06</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3</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3</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159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10</w:t>
            </w:r>
          </w:p>
        </w:tc>
        <w:tc>
          <w:tcPr>
            <w:tcW w:type="dxa" w:w="1821"/>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3.80</w:t>
            </w:r>
          </w:p>
        </w:tc>
        <w:tc>
          <w:tcPr>
            <w:tcW w:type="dxa" w:w="2504"/>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納入（VALID）</w:t>
            </w:r>
          </w:p>
        </w:tc>
      </w:tr>
      <w:tr>
        <w:trPr>
          <w:cantSplit/>
        </w:trPr>
        <w:tc>
          <w:tcPr>
            <w:tcW w:type="dxa" w:w="136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P07</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5</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159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821"/>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4.40</w:t>
            </w:r>
          </w:p>
        </w:tc>
        <w:tc>
          <w:tcPr>
            <w:tcW w:type="dxa" w:w="2504"/>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納入（VALID）</w:t>
            </w:r>
          </w:p>
        </w:tc>
      </w:tr>
      <w:tr>
        <w:trPr>
          <w:cantSplit/>
        </w:trPr>
        <w:tc>
          <w:tcPr>
            <w:tcW w:type="dxa" w:w="136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P08</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3</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3</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3</w:t>
            </w:r>
          </w:p>
        </w:tc>
        <w:tc>
          <w:tcPr>
            <w:tcW w:type="dxa" w:w="159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10</w:t>
            </w:r>
          </w:p>
        </w:tc>
        <w:tc>
          <w:tcPr>
            <w:tcW w:type="dxa" w:w="1821"/>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3.70</w:t>
            </w:r>
          </w:p>
        </w:tc>
        <w:tc>
          <w:tcPr>
            <w:tcW w:type="dxa" w:w="2504"/>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納入（VALID）</w:t>
            </w:r>
          </w:p>
        </w:tc>
      </w:tr>
      <w:tr>
        <w:trPr>
          <w:cantSplit/>
        </w:trPr>
        <w:tc>
          <w:tcPr>
            <w:tcW w:type="dxa" w:w="136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P09</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3</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3</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4</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未填</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未填</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未填</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未填</w:t>
            </w:r>
          </w:p>
        </w:tc>
        <w:tc>
          <w:tcPr>
            <w:tcW w:type="dxa" w:w="159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6</w:t>
            </w:r>
          </w:p>
        </w:tc>
        <w:tc>
          <w:tcPr>
            <w:tcW w:type="dxa" w:w="1821"/>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(3.67)*</w:t>
            </w:r>
          </w:p>
        </w:tc>
        <w:tc>
          <w:tcPr>
            <w:tcW w:type="dxa" w:w="2504"/>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排除（PARTIAL）</w:t>
            </w:r>
          </w:p>
        </w:tc>
      </w:tr>
      <w:tr>
        <w:trPr>
          <w:cantSplit/>
        </w:trPr>
        <w:tc>
          <w:tcPr>
            <w:tcW w:type="dxa" w:w="136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P10</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缺漏</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缺漏</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缺漏</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缺漏</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缺漏</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缺漏</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缺漏</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缺漏</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缺漏</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缺漏</w:t>
            </w:r>
          </w:p>
        </w:tc>
        <w:tc>
          <w:tcPr>
            <w:tcW w:type="dxa" w:w="159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0</w:t>
            </w:r>
          </w:p>
        </w:tc>
        <w:tc>
          <w:tcPr>
            <w:tcW w:type="dxa" w:w="1821"/>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無</w:t>
            </w:r>
          </w:p>
        </w:tc>
        <w:tc>
          <w:tcPr>
            <w:tcW w:type="dxa" w:w="2504"/>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排除（NON_RESP）</w:t>
            </w:r>
          </w:p>
        </w:tc>
      </w:tr>
      <w:tr>
        <w:trPr>
          <w:cantSplit/>
        </w:trPr>
        <w:tc>
          <w:tcPr>
            <w:tcW w:type="dxa" w:w="136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有效分母 (n_i)</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sz w:val="19"/>
              </w:rPr>
              <w:t>9</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sz w:val="19"/>
              </w:rPr>
              <w:t>9</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sz w:val="19"/>
              </w:rPr>
              <w:t>9</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sz w:val="19"/>
              </w:rPr>
              <w:t>9</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sz w:val="19"/>
              </w:rPr>
              <w:t>9</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sz w:val="19"/>
              </w:rPr>
              <w:t>9</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sz w:val="19"/>
              </w:rPr>
              <w:t>8</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sz w:val="19"/>
              </w:rPr>
              <w:t>8</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sz w:val="19"/>
              </w:rPr>
              <w:t>8</w:t>
            </w:r>
          </w:p>
        </w:tc>
        <w:tc>
          <w:tcPr>
            <w:tcW w:type="dxa" w:w="79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sz w:val="19"/>
              </w:rPr>
              <w:t>8</w:t>
            </w:r>
          </w:p>
        </w:tc>
        <w:tc>
          <w:tcPr>
            <w:tcW w:type="dxa" w:w="159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w:t>
            </w:r>
          </w:p>
        </w:tc>
        <w:tc>
          <w:tcPr>
            <w:tcW w:type="dxa" w:w="1821"/>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w:t>
            </w:r>
          </w:p>
        </w:tc>
        <w:tc>
          <w:tcPr>
            <w:tcW w:type="dxa" w:w="2504"/>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w:t>
            </w:r>
          </w:p>
        </w:tc>
      </w:tr>
      <w:tr>
        <w:trPr>
          <w:cantSplit/>
        </w:trPr>
        <w:tc>
          <w:tcPr>
            <w:tcW w:type="dxa" w:w="136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各題得分總和</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sz w:val="19"/>
              </w:rPr>
              <w:t>40</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sz w:val="19"/>
              </w:rPr>
              <w:t>39</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sz w:val="19"/>
              </w:rPr>
              <w:t>40</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sz w:val="19"/>
              </w:rPr>
              <w:t>34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sz w:val="19"/>
              </w:rPr>
              <w:t>31</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sz w:val="19"/>
              </w:rPr>
              <w:t>37</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sz w:val="19"/>
              </w:rPr>
              <w:t>34</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sz w:val="19"/>
              </w:rPr>
              <w:t>33</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sz w:val="19"/>
              </w:rPr>
              <w:t>35</w:t>
            </w:r>
          </w:p>
        </w:tc>
        <w:tc>
          <w:tcPr>
            <w:tcW w:type="dxa" w:w="79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sz w:val="19"/>
              </w:rPr>
              <w:t>32</w:t>
            </w:r>
          </w:p>
        </w:tc>
        <w:tc>
          <w:tcPr>
            <w:tcW w:type="dxa" w:w="159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w:t>
            </w:r>
          </w:p>
        </w:tc>
        <w:tc>
          <w:tcPr>
            <w:tcW w:type="dxa" w:w="1821"/>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w:t>
            </w:r>
          </w:p>
        </w:tc>
        <w:tc>
          <w:tcPr>
            <w:tcW w:type="dxa" w:w="2504"/>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w:t>
            </w:r>
          </w:p>
        </w:tc>
      </w:tr>
    </w:tbl>
    <w:p>
      <w:pPr>
        <w:spacing w:after="20"/>
      </w:pPr>
    </w:p>
    <w:p>
      <w:pPr>
        <w:spacing w:after="100"/>
        <w:ind w:left="288" w:right="216"/>
        <w:shd w:fill="EAF2F8"/>
      </w:pPr>
      <w:r>
        <w:rPr>
          <w:rFonts w:ascii="Microsoft JhengHei" w:hAnsi="Microsoft JhengHei" w:eastAsia="Microsoft JhengHei"/>
          <w:b/>
          <w:sz w:val="21"/>
        </w:rPr>
        <w:t>統計註記說明</w:t>
      </w:r>
      <w:r>
        <w:rPr>
          <w:rFonts w:ascii="Microsoft JhengHei" w:hAnsi="Microsoft JhengHei" w:eastAsia="Microsoft JhengHei"/>
          <w:b w:val="0"/>
          <w:sz w:val="21"/>
        </w:rPr>
        <w:t>：</w:t>
      </w:r>
    </w:p>
    <w:p>
      <w:pPr>
        <w:spacing w:after="100"/>
        <w:ind w:left="288" w:right="216"/>
        <w:shd w:fill="EAF2F8"/>
      </w:pPr>
      <w:r>
        <w:rPr>
          <w:rFonts w:ascii="Microsoft JhengHei" w:hAnsi="Microsoft JhengHei" w:eastAsia="Microsoft JhengHei"/>
          <w:b w:val="0"/>
          <w:sz w:val="21"/>
        </w:rPr>
        <w:t>1. P09 個人平均數 (3.67)* 僅供單獨分析其填答傾向（22  ÷  6 = 3.67），依準則規定</w:t>
      </w:r>
      <w:r>
        <w:rPr>
          <w:rFonts w:ascii="Microsoft JhengHei" w:hAnsi="Microsoft JhengHei" w:eastAsia="Microsoft JhengHei"/>
          <w:b/>
          <w:sz w:val="21"/>
        </w:rPr>
        <w:t>嚴禁</w:t>
      </w:r>
      <w:r>
        <w:rPr>
          <w:rFonts w:ascii="Microsoft JhengHei" w:hAnsi="Microsoft JhengHei" w:eastAsia="Microsoft JhengHei"/>
          <w:b w:val="0"/>
          <w:sz w:val="21"/>
        </w:rPr>
        <w:t>計入全體學員綜合滿意度指標。</w:t>
      </w:r>
    </w:p>
    <w:p>
      <w:pPr>
        <w:spacing w:after="100"/>
        <w:ind w:left="288" w:right="216"/>
        <w:shd w:fill="EAF2F8"/>
      </w:pPr>
      <w:r>
        <w:rPr>
          <w:rFonts w:ascii="Microsoft JhengHei" w:hAnsi="Microsoft JhengHei" w:eastAsia="Microsoft JhengHei"/>
          <w:b w:val="0"/>
          <w:sz w:val="21"/>
        </w:rPr>
        <w:t>2. P09 在 Q07–Q10 標記為「未填（Missing）」，故 Q07–Q10 之有效分析分母為 8；Q01–Q06 之有效分析分母為 9。絕無將未填項逕行補零之情事。</w:t>
      </w:r>
    </w:p>
    <w:p>
      <w:pPr>
        <w:pStyle w:val="Heading2"/>
      </w:pPr>
      <w:r>
        <w:rPr>
          <w:rFonts w:ascii="Microsoft JhengHei" w:hAnsi="Microsoft JhengHei" w:eastAsia="Microsoft JhengHei"/>
          <w:b w:val="0"/>
          <w:sz w:val="25"/>
        </w:rPr>
        <w:t>6.3 選答式開放題回覆狀態（SAMPLE / SYNTHETIC）</w:t>
      </w:r>
    </w:p>
    <w:p>
      <w:r>
        <w:rPr>
          <w:rFonts w:ascii="Microsoft JhengHei" w:hAnsi="Microsoft JhengHei" w:eastAsia="Microsoft JhengHei"/>
          <w:b w:val="0"/>
          <w:sz w:val="21"/>
        </w:rPr>
        <w:t>Q11 與 Q12 不納入 10 題量表分數或完整度門檻。下表列明合成資料中的回覆狀態；「—」表示未提供文字，並非零分。</w:t>
      </w:r>
    </w:p>
    <w:tbl>
      <w:tblPr>
        <w:tblW w:type="auto" w:w="0"/>
        <w:jc w:val="center"/>
        <w:tblLayout w:type="fixed"/>
        <w:tblLook w:firstColumn="1" w:firstRow="1" w:lastColumn="0" w:lastRow="0" w:noHBand="0" w:noVBand="1" w:val="04A0"/>
      </w:tblPr>
      <w:tblGrid>
        <w:gridCol w:w="5083"/>
        <w:gridCol w:w="5083"/>
        <w:gridCol w:w="5083"/>
      </w:tblGrid>
      <w:tr>
        <w:trPr>
          <w:cantSplit/>
          <w:tblHeader w:val="true"/>
        </w:trPr>
        <w:tc>
          <w:tcPr>
            <w:tcW w:type="dxa" w:w="5083"/>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代碼</w:t>
            </w:r>
          </w:p>
        </w:tc>
        <w:tc>
          <w:tcPr>
            <w:tcW w:type="dxa" w:w="5083"/>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Q11 有幫助的內容</w:t>
            </w:r>
          </w:p>
        </w:tc>
        <w:tc>
          <w:tcPr>
            <w:tcW w:type="dxa" w:w="5083"/>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Q12 優先改善建議</w:t>
            </w:r>
          </w:p>
        </w:tc>
      </w:tr>
      <w:tr>
        <w:trPr>
          <w:cantSplit/>
        </w:trPr>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P01</w:t>
            </w:r>
          </w:p>
        </w:tc>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w:t>
            </w:r>
          </w:p>
        </w:tc>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w:t>
            </w:r>
          </w:p>
        </w:tc>
      </w:tr>
      <w:tr>
        <w:trPr>
          <w:cantSplit/>
        </w:trPr>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P02</w:t>
            </w:r>
          </w:p>
        </w:tc>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同理傾聽案例有助理解</w:t>
            </w:r>
          </w:p>
        </w:tc>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增加輪椅演練與圖卡</w:t>
            </w:r>
          </w:p>
        </w:tc>
      </w:tr>
      <w:tr>
        <w:trPr>
          <w:cantSplit/>
        </w:trPr>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P03</w:t>
            </w:r>
          </w:p>
        </w:tc>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w:t>
            </w:r>
          </w:p>
        </w:tc>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w:t>
            </w:r>
          </w:p>
        </w:tc>
      </w:tr>
      <w:tr>
        <w:trPr>
          <w:cantSplit/>
        </w:trPr>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P04</w:t>
            </w:r>
          </w:p>
        </w:tc>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保密情境提醒資料處理</w:t>
            </w:r>
          </w:p>
        </w:tc>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增加意外通報動態演練</w:t>
            </w:r>
          </w:p>
        </w:tc>
      </w:tr>
      <w:tr>
        <w:trPr>
          <w:cantSplit/>
        </w:trPr>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P05</w:t>
            </w:r>
          </w:p>
        </w:tc>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w:t>
            </w:r>
          </w:p>
        </w:tc>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w:t>
            </w:r>
          </w:p>
        </w:tc>
      </w:tr>
      <w:tr>
        <w:trPr>
          <w:cantSplit/>
        </w:trPr>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P06</w:t>
            </w:r>
          </w:p>
        </w:tc>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w:t>
            </w:r>
          </w:p>
        </w:tc>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w:t>
            </w:r>
          </w:p>
        </w:tc>
      </w:tr>
      <w:tr>
        <w:trPr>
          <w:cantSplit/>
        </w:trPr>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P07</w:t>
            </w:r>
          </w:p>
        </w:tc>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物資清點流程容易記憶</w:t>
            </w:r>
          </w:p>
        </w:tc>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增加後續服務情境練習</w:t>
            </w:r>
          </w:p>
        </w:tc>
      </w:tr>
      <w:tr>
        <w:trPr>
          <w:cantSplit/>
        </w:trPr>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P08</w:t>
            </w:r>
          </w:p>
        </w:tc>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w:t>
            </w:r>
          </w:p>
        </w:tc>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w:t>
            </w:r>
          </w:p>
        </w:tc>
      </w:tr>
      <w:tr>
        <w:trPr>
          <w:cantSplit/>
        </w:trPr>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P09</w:t>
            </w:r>
          </w:p>
        </w:tc>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未填（部分問卷未答開放題）</w:t>
            </w:r>
          </w:p>
        </w:tc>
        <w:tc>
          <w:tcPr>
            <w:tcW w:type="dxa" w:w="50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未填</w:t>
            </w:r>
          </w:p>
        </w:tc>
      </w:tr>
      <w:tr>
        <w:trPr>
          <w:cantSplit/>
        </w:trPr>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P10</w:t>
            </w:r>
          </w:p>
        </w:tc>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未回覆（未出席）</w:t>
            </w:r>
          </w:p>
        </w:tc>
        <w:tc>
          <w:tcPr>
            <w:tcW w:type="dxa" w:w="50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未回覆</w:t>
            </w:r>
          </w:p>
        </w:tc>
      </w:tr>
    </w:tbl>
    <w:p>
      <w:pPr>
        <w:spacing w:after="20"/>
      </w:pPr>
    </w:p>
    <w:p>
      <w:pPr>
        <w:pStyle w:val="Heading1"/>
      </w:pPr>
      <w:r>
        <w:rPr>
          <w:rFonts w:ascii="Microsoft JhengHei" w:hAnsi="Microsoft JhengHei" w:eastAsia="Microsoft JhengHei"/>
          <w:b w:val="0"/>
          <w:sz w:val="30"/>
        </w:rPr>
        <w:t>7. 技能學習評量藍圖與客觀評分規準（Learning Assessment Blueprint &amp; Rubric）</w:t>
      </w:r>
    </w:p>
    <w:p>
      <w:r>
        <w:rPr>
          <w:rFonts w:ascii="Microsoft JhengHei" w:hAnsi="Microsoft JhengHei" w:eastAsia="Microsoft JhengHei"/>
          <w:b w:val="0"/>
          <w:sz w:val="21"/>
        </w:rPr>
        <w:t>為實質驗證學員在「學習技能面」之掌握水準，本虛構案例設計 5 項核心實作任務（Task 01–05），採行為檢核表（Behavioral Checklist）進行客觀考核。</w:t>
      </w:r>
    </w:p>
    <w:p>
      <w:pPr>
        <w:pStyle w:val="Heading2"/>
      </w:pPr>
      <w:r>
        <w:rPr>
          <w:rFonts w:ascii="Microsoft JhengHei" w:hAnsi="Microsoft JhengHei" w:eastAsia="Microsoft JhengHei"/>
          <w:b w:val="0"/>
          <w:sz w:val="25"/>
        </w:rPr>
        <w:t>7.1 五項技能實作任務指標與行為規準表</w:t>
      </w:r>
    </w:p>
    <w:p>
      <w:r>
        <w:rPr>
          <w:rFonts w:ascii="Microsoft JhengHei" w:hAnsi="Microsoft JhengHei" w:eastAsia="Microsoft JhengHei"/>
          <w:b w:val="0"/>
          <w:sz w:val="21"/>
        </w:rPr>
        <w:t>各任務滿分為 20 分，總計 100 分。以下轉位評分錨點僅為 SAMPLE；真實施測前須核對協會現行授權安全程序與志工職責。未確認服務對象同意、適配及現場安全，或超出志工職責時，須停止操作並依正式程序求援。本表不構成協會核定之移位 SOP。評分規準以「0 / 10 / 20」三級可觀察行為錨點呈現，供此 SAMPLE 案例示範一致評分。</w:t>
      </w:r>
    </w:p>
    <w:tbl>
      <w:tblPr>
        <w:tblW w:type="auto" w:w="0"/>
        <w:jc w:val="center"/>
        <w:tblLayout w:type="fixed"/>
        <w:tblLook w:firstColumn="1" w:firstRow="1" w:lastColumn="0" w:lastRow="0" w:noHBand="0" w:noVBand="1" w:val="04A0"/>
      </w:tblPr>
      <w:tblGrid>
        <w:gridCol w:w="3050"/>
        <w:gridCol w:w="3050"/>
        <w:gridCol w:w="3050"/>
        <w:gridCol w:w="3050"/>
        <w:gridCol w:w="3050"/>
      </w:tblGrid>
      <w:tr>
        <w:trPr>
          <w:cantSplit/>
          <w:tblHeader w:val="true"/>
        </w:trPr>
        <w:tc>
          <w:tcPr>
            <w:tcW w:type="dxa" w:w="273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任務</w:t>
            </w:r>
          </w:p>
        </w:tc>
        <w:tc>
          <w:tcPr>
            <w:tcW w:type="dxa" w:w="1173"/>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權重</w:t>
            </w:r>
          </w:p>
        </w:tc>
        <w:tc>
          <w:tcPr>
            <w:tcW w:type="dxa" w:w="3519"/>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0 分：未達標</w:t>
            </w:r>
          </w:p>
        </w:tc>
        <w:tc>
          <w:tcPr>
            <w:tcW w:type="dxa" w:w="3910"/>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10 分：部分符合</w:t>
            </w:r>
          </w:p>
        </w:tc>
        <w:tc>
          <w:tcPr>
            <w:tcW w:type="dxa" w:w="3910"/>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20 分：完整符合</w:t>
            </w:r>
          </w:p>
        </w:tc>
      </w:tr>
      <w:tr>
        <w:trPr>
          <w:cantSplit/>
        </w:trPr>
        <w:tc>
          <w:tcPr>
            <w:tcW w:type="dxa" w:w="2737"/>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T01 服務接待與同理溝通</w:t>
            </w:r>
          </w:p>
        </w:tc>
        <w:tc>
          <w:tcPr>
            <w:tcW w:type="dxa" w:w="117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20%</w:t>
            </w:r>
          </w:p>
        </w:tc>
        <w:tc>
          <w:tcPr>
            <w:tcW w:type="dxa" w:w="351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未主動致意，未辨識負面情緒且未傾聽</w:t>
            </w:r>
          </w:p>
        </w:tc>
        <w:tc>
          <w:tcPr>
            <w:tcW w:type="dxa" w:w="391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主動問候、態度和善；同理回應稍制式，需提示才展現傾聽</w:t>
            </w:r>
          </w:p>
        </w:tc>
        <w:tc>
          <w:tcPr>
            <w:tcW w:type="dxa" w:w="391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熱忱問候，能重述需求並展現同理</w:t>
            </w:r>
          </w:p>
        </w:tc>
      </w:tr>
      <w:tr>
        <w:trPr>
          <w:cantSplit/>
        </w:trPr>
        <w:tc>
          <w:tcPr>
            <w:tcW w:type="dxa" w:w="2737"/>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T02 個案隱私保護與紀錄</w:t>
            </w:r>
          </w:p>
        </w:tc>
        <w:tc>
          <w:tcPr>
            <w:tcW w:type="dxa" w:w="117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20%</w:t>
            </w:r>
          </w:p>
        </w:tc>
        <w:tc>
          <w:tcPr>
            <w:tcW w:type="dxa" w:w="351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隨意放置資料或洩露個案資訊</w:t>
            </w:r>
          </w:p>
        </w:tc>
        <w:tc>
          <w:tcPr>
            <w:tcW w:type="dxa" w:w="391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注意文件覆蓋；討論個案時未留意環境，提醒後改善</w:t>
            </w:r>
          </w:p>
        </w:tc>
        <w:tc>
          <w:tcPr>
            <w:tcW w:type="dxa" w:w="391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資料妥善收納，依示範去識別與保密程序處理</w:t>
            </w:r>
          </w:p>
        </w:tc>
      </w:tr>
      <w:tr>
        <w:trPr>
          <w:cantSplit/>
        </w:trPr>
        <w:tc>
          <w:tcPr>
            <w:tcW w:type="dxa" w:w="2737"/>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T03 輪椅移位安全輔助</w:t>
            </w:r>
          </w:p>
        </w:tc>
        <w:tc>
          <w:tcPr>
            <w:tcW w:type="dxa" w:w="117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20%</w:t>
            </w:r>
          </w:p>
        </w:tc>
        <w:tc>
          <w:tcPr>
            <w:tcW w:type="dxa" w:w="3519"/>
            <w:vAlign w:val="top"/>
            <w:tcMar>
              <w:top w:w="65" w:type="dxa"/>
              <w:start w:w="65" w:type="dxa"/>
              <w:bottom w:w="65" w:type="dxa"/>
              <w:end w:w="65" w:type="dxa"/>
            </w:tcMar>
          </w:tcPr>
          <w:p>
            <w:pPr>
              <w:spacing w:after="0" w:before="0" w:line="240" w:lineRule="auto"/>
              <w:jc w:val="left"/>
            </w:pPr>
            <w:r>
              <w:t>未確認對方同意、可配合程度或場地安全，或未鎖定煞車／未移開腳踏板即開始轉位；有風險仍繼續。</w:t>
            </w:r>
          </w:p>
        </w:tc>
        <w:tc>
          <w:tcPr>
            <w:tcW w:type="dxa" w:w="3910"/>
            <w:vAlign w:val="top"/>
            <w:tcMar>
              <w:top w:w="65" w:type="dxa"/>
              <w:start w:w="65" w:type="dxa"/>
              <w:bottom w:w="65" w:type="dxa"/>
              <w:end w:w="65" w:type="dxa"/>
            </w:tcMar>
          </w:tcPr>
          <w:p>
            <w:pPr>
              <w:spacing w:after="0" w:before="0" w:line="240" w:lineRule="auto"/>
              <w:jc w:val="left"/>
            </w:pPr>
            <w:r>
              <w:t>已確認同意與基本安全，流程大致正確但漏一項檢核或順序有瑕疵；經提示後停止並修正。</w:t>
            </w:r>
          </w:p>
        </w:tc>
        <w:tc>
          <w:tcPr>
            <w:tcW w:type="dxa" w:w="3910"/>
            <w:vAlign w:val="top"/>
            <w:tcMar>
              <w:top w:w="65" w:type="dxa"/>
              <w:start w:w="65" w:type="dxa"/>
              <w:bottom w:w="65" w:type="dxa"/>
              <w:end w:w="65" w:type="dxa"/>
            </w:tcMar>
          </w:tcPr>
          <w:p>
            <w:pPr>
              <w:spacing w:after="0" w:before="0" w:line="240" w:lineRule="auto"/>
              <w:jc w:val="left"/>
            </w:pPr>
            <w:r>
              <w:t>操作前確認同意、可配合程度與場地；依經授權安全程序檢核雙側煞車、腳踏板並完成適當協助；超出志工職責或有不確定時停止、求援。</w:t>
            </w:r>
          </w:p>
        </w:tc>
      </w:tr>
      <w:tr>
        <w:trPr>
          <w:cantSplit/>
        </w:trPr>
        <w:tc>
          <w:tcPr>
            <w:tcW w:type="dxa" w:w="2737"/>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T04 意外情境通報</w:t>
            </w:r>
          </w:p>
        </w:tc>
        <w:tc>
          <w:tcPr>
            <w:tcW w:type="dxa" w:w="117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20%</w:t>
            </w:r>
          </w:p>
        </w:tc>
        <w:tc>
          <w:tcPr>
            <w:tcW w:type="dxa" w:w="351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情境處置混亂、未通報或擅自移動情境對象</w:t>
            </w:r>
          </w:p>
        </w:tc>
        <w:tc>
          <w:tcPr>
            <w:tcW w:type="dxa" w:w="391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能安撫並通報，但記錄時間等欄位有缺漏</w:t>
            </w:r>
          </w:p>
        </w:tc>
        <w:tc>
          <w:tcPr>
            <w:tcW w:type="dxa" w:w="391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維持情境安全，依示範流程通報並記錄關鍵資訊</w:t>
            </w:r>
          </w:p>
        </w:tc>
      </w:tr>
      <w:tr>
        <w:trPr>
          <w:cantSplit/>
        </w:trPr>
        <w:tc>
          <w:tcPr>
            <w:tcW w:type="dxa" w:w="2737"/>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T05 關懷物資清點核對</w:t>
            </w:r>
          </w:p>
        </w:tc>
        <w:tc>
          <w:tcPr>
            <w:tcW w:type="dxa" w:w="117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20%</w:t>
            </w:r>
          </w:p>
        </w:tc>
        <w:tc>
          <w:tcPr>
            <w:tcW w:type="dxa" w:w="351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分類或數量錯誤，未登錄核對</w:t>
            </w:r>
          </w:p>
        </w:tc>
        <w:tc>
          <w:tcPr>
            <w:tcW w:type="dxa" w:w="391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分類與數量正確，但登記欄位稍有缺漏</w:t>
            </w:r>
          </w:p>
        </w:tc>
        <w:tc>
          <w:tcPr>
            <w:tcW w:type="dxa" w:w="391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分類、盤點、登錄及領用核對完整</w:t>
            </w:r>
          </w:p>
        </w:tc>
      </w:tr>
    </w:tbl>
    <w:p>
      <w:pPr>
        <w:spacing w:after="20"/>
      </w:pPr>
    </w:p>
    <w:p>
      <w:pPr>
        <w:pStyle w:val="Heading2"/>
      </w:pPr>
      <w:r>
        <w:rPr>
          <w:rFonts w:ascii="Microsoft JhengHei" w:hAnsi="Microsoft JhengHei" w:eastAsia="Microsoft JhengHei"/>
          <w:b w:val="0"/>
          <w:sz w:val="25"/>
        </w:rPr>
        <w:t>7.2 考核及格標準設定聲明（Passing Score Assertion）</w:t>
      </w:r>
    </w:p>
    <w:p>
      <w:pPr>
        <w:spacing w:after="100"/>
        <w:ind w:left="288" w:right="216"/>
        <w:shd w:fill="EAF2F8"/>
      </w:pPr>
      <w:r>
        <w:rPr>
          <w:rFonts w:ascii="Microsoft JhengHei" w:hAnsi="Microsoft JhengHei" w:eastAsia="Microsoft JhengHei"/>
          <w:b/>
          <w:sz w:val="21"/>
        </w:rPr>
        <w:t>【SAMPLE / 模擬標準聲明】</w:t>
      </w:r>
      <w:r>
        <w:rPr>
          <w:rFonts w:ascii="Microsoft JhengHei" w:hAnsi="Microsoft JhengHei" w:eastAsia="Microsoft JhengHei"/>
          <w:b w:val="0"/>
          <w:sz w:val="21"/>
        </w:rPr>
        <w:t>：</w:t>
      </w:r>
    </w:p>
    <w:p>
      <w:pPr>
        <w:spacing w:after="100"/>
        <w:ind w:left="288" w:right="216"/>
        <w:shd w:fill="EAF2F8"/>
      </w:pPr>
      <w:r>
        <w:rPr>
          <w:rFonts w:ascii="Microsoft JhengHei" w:hAnsi="Microsoft JhengHei" w:eastAsia="Microsoft JhengHei"/>
          <w:b w:val="0"/>
          <w:sz w:val="21"/>
        </w:rPr>
        <w:t>本示範評量採用的合成合格門檻為</w:t>
      </w:r>
      <w:r>
        <w:rPr>
          <w:rFonts w:ascii="Microsoft JhengHei" w:hAnsi="Microsoft JhengHei" w:eastAsia="Microsoft JhengHei"/>
          <w:b/>
          <w:sz w:val="21"/>
        </w:rPr>
        <w:t>總分 70 分（含）以上</w:t>
      </w:r>
      <w:r>
        <w:rPr>
          <w:rFonts w:ascii="Microsoft JhengHei" w:hAnsi="Microsoft JhengHei" w:eastAsia="Microsoft JhengHei"/>
          <w:b w:val="0"/>
          <w:sz w:val="21"/>
        </w:rPr>
        <w:t>。</w:t>
      </w:r>
    </w:p>
    <w:p>
      <w:pPr>
        <w:spacing w:after="100"/>
        <w:ind w:left="288" w:right="216"/>
        <w:shd w:fill="EAF2F8"/>
      </w:pPr>
      <w:r>
        <w:rPr>
          <w:rFonts w:ascii="Microsoft JhengHei" w:hAnsi="Microsoft JhengHei" w:eastAsia="Microsoft JhengHei"/>
          <w:b w:val="0"/>
          <w:sz w:val="21"/>
        </w:rPr>
        <w:t>協會真實使用的及格標準及核定權責，須先由現行正式權責程序與授權來源查證；本示範未取得該權責依據、正式門檻或批准紀錄。查證與核定完成前，70 分僅為 SAMPLE 演練門檻，不得作為真實服務資格或能力認證依據。</w:t>
      </w:r>
    </w:p>
    <w:p>
      <w:pPr>
        <w:pStyle w:val="Heading1"/>
      </w:pPr>
      <w:r>
        <w:rPr>
          <w:rFonts w:ascii="Microsoft JhengHei" w:hAnsi="Microsoft JhengHei" w:eastAsia="Microsoft JhengHei"/>
          <w:b w:val="0"/>
          <w:sz w:val="30"/>
        </w:rPr>
        <w:t>8. 技能評量原始數據與前後測配對矩陣（Paired Assessment Data）</w:t>
      </w:r>
    </w:p>
    <w:p>
      <w:pPr>
        <w:pStyle w:val="Heading2"/>
      </w:pPr>
      <w:r>
        <w:rPr>
          <w:rFonts w:ascii="Microsoft JhengHei" w:hAnsi="Microsoft JhengHei" w:eastAsia="Microsoft JhengHei"/>
          <w:b w:val="0"/>
          <w:sz w:val="25"/>
        </w:rPr>
        <w:t>8.1 技能實作前後測逐筆評分資料矩陣</w:t>
      </w:r>
    </w:p>
    <w:p>
      <w:r>
        <w:rPr>
          <w:rFonts w:ascii="Microsoft JhengHei" w:hAnsi="Microsoft JhengHei" w:eastAsia="Microsoft JhengHei"/>
          <w:b w:val="0"/>
          <w:sz w:val="21"/>
        </w:rPr>
        <w:t>為避免 16 欄表格過窄，前測與後測分表呈現；相同代碼代表示範配對對象。缺考記為 ABS，不補零。</w:t>
      </w:r>
    </w:p>
    <w:p>
      <w:r>
        <w:rPr>
          <w:rFonts w:ascii="Microsoft JhengHei" w:hAnsi="Microsoft JhengHei" w:eastAsia="Microsoft JhengHei"/>
          <w:b w:val="0"/>
          <w:sz w:val="21"/>
        </w:rPr>
        <w:t>以下為 10 位學員之 SAMPLE / SYNTHETIC 技能評量逐筆示範。真實評分者的資格與授權須依協會現行權責程序另行核驗；本表不證明實際評分或執行</w:t>
      </w:r>
    </w:p>
    <w:tbl>
      <w:tblPr>
        <w:tblW w:type="auto" w:w="0"/>
        <w:jc w:val="center"/>
        <w:tblLayout w:type="fixed"/>
        <w:tblLook w:firstColumn="1" w:firstRow="1" w:lastColumn="0" w:lastRow="0" w:noHBand="0" w:noVBand="1" w:val="04A0"/>
      </w:tblPr>
      <w:tblGrid>
        <w:gridCol w:w="2179"/>
        <w:gridCol w:w="2179"/>
        <w:gridCol w:w="2179"/>
        <w:gridCol w:w="2179"/>
        <w:gridCol w:w="2179"/>
        <w:gridCol w:w="2179"/>
        <w:gridCol w:w="2179"/>
      </w:tblGrid>
      <w:tr>
        <w:trPr>
          <w:cantSplit/>
          <w:tblHeader w:val="true"/>
        </w:trPr>
        <w:tc>
          <w:tcPr>
            <w:tcW w:type="dxa" w:w="2652"/>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學員代碼</w:t>
            </w:r>
          </w:p>
        </w:tc>
        <w:tc>
          <w:tcPr>
            <w:tcW w:type="dxa" w:w="1989"/>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T01</w:t>
            </w:r>
          </w:p>
        </w:tc>
        <w:tc>
          <w:tcPr>
            <w:tcW w:type="dxa" w:w="1989"/>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T02</w:t>
            </w:r>
          </w:p>
        </w:tc>
        <w:tc>
          <w:tcPr>
            <w:tcW w:type="dxa" w:w="1989"/>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T03</w:t>
            </w:r>
          </w:p>
        </w:tc>
        <w:tc>
          <w:tcPr>
            <w:tcW w:type="dxa" w:w="1989"/>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T04</w:t>
            </w:r>
          </w:p>
        </w:tc>
        <w:tc>
          <w:tcPr>
            <w:tcW w:type="dxa" w:w="1989"/>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T05</w:t>
            </w:r>
          </w:p>
        </w:tc>
        <w:tc>
          <w:tcPr>
            <w:tcW w:type="dxa" w:w="2652"/>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前測總分</w:t>
            </w:r>
          </w:p>
        </w:tc>
      </w:tr>
      <w:tr>
        <w:trPr>
          <w:cantSplit/>
        </w:trPr>
        <w:tc>
          <w:tcPr>
            <w:tcW w:type="dxa" w:w="265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P01</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265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50</w:t>
            </w:r>
          </w:p>
        </w:tc>
      </w:tr>
      <w:tr>
        <w:trPr>
          <w:cantSplit/>
        </w:trPr>
        <w:tc>
          <w:tcPr>
            <w:tcW w:type="dxa" w:w="265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P02</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0</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10</w:t>
            </w:r>
          </w:p>
        </w:tc>
        <w:tc>
          <w:tcPr>
            <w:tcW w:type="dxa" w:w="265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40</w:t>
            </w:r>
          </w:p>
        </w:tc>
      </w:tr>
      <w:tr>
        <w:trPr>
          <w:cantSplit/>
        </w:trPr>
        <w:tc>
          <w:tcPr>
            <w:tcW w:type="dxa" w:w="265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P03</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265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40</w:t>
            </w:r>
          </w:p>
        </w:tc>
      </w:tr>
      <w:tr>
        <w:trPr>
          <w:cantSplit/>
        </w:trPr>
        <w:tc>
          <w:tcPr>
            <w:tcW w:type="dxa" w:w="265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P04</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0</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0</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10</w:t>
            </w:r>
          </w:p>
        </w:tc>
        <w:tc>
          <w:tcPr>
            <w:tcW w:type="dxa" w:w="265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30</w:t>
            </w:r>
          </w:p>
        </w:tc>
      </w:tr>
      <w:tr>
        <w:trPr>
          <w:cantSplit/>
        </w:trPr>
        <w:tc>
          <w:tcPr>
            <w:tcW w:type="dxa" w:w="265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P05</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20</w:t>
            </w:r>
          </w:p>
        </w:tc>
        <w:tc>
          <w:tcPr>
            <w:tcW w:type="dxa" w:w="265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60</w:t>
            </w:r>
          </w:p>
        </w:tc>
      </w:tr>
      <w:tr>
        <w:trPr>
          <w:cantSplit/>
        </w:trPr>
        <w:tc>
          <w:tcPr>
            <w:tcW w:type="dxa" w:w="265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P06</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0</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0</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10</w:t>
            </w:r>
          </w:p>
        </w:tc>
        <w:tc>
          <w:tcPr>
            <w:tcW w:type="dxa" w:w="265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30</w:t>
            </w:r>
          </w:p>
        </w:tc>
      </w:tr>
      <w:tr>
        <w:trPr>
          <w:cantSplit/>
        </w:trPr>
        <w:tc>
          <w:tcPr>
            <w:tcW w:type="dxa" w:w="265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P07</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265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40</w:t>
            </w:r>
          </w:p>
        </w:tc>
      </w:tr>
      <w:tr>
        <w:trPr>
          <w:cantSplit/>
        </w:trPr>
        <w:tc>
          <w:tcPr>
            <w:tcW w:type="dxa" w:w="265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P08</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0</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0</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0</w:t>
            </w:r>
          </w:p>
        </w:tc>
        <w:tc>
          <w:tcPr>
            <w:tcW w:type="dxa" w:w="265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20</w:t>
            </w:r>
          </w:p>
        </w:tc>
      </w:tr>
      <w:tr>
        <w:trPr>
          <w:cantSplit/>
        </w:trPr>
        <w:tc>
          <w:tcPr>
            <w:tcW w:type="dxa" w:w="265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P09</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c>
          <w:tcPr>
            <w:tcW w:type="dxa" w:w="198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0</w:t>
            </w:r>
          </w:p>
        </w:tc>
        <w:tc>
          <w:tcPr>
            <w:tcW w:type="dxa" w:w="265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w:t>
            </w:r>
          </w:p>
        </w:tc>
      </w:tr>
      <w:tr>
        <w:trPr>
          <w:cantSplit/>
        </w:trPr>
        <w:tc>
          <w:tcPr>
            <w:tcW w:type="dxa" w:w="265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P10</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缺考</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缺考</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缺考</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缺考</w:t>
            </w:r>
          </w:p>
        </w:tc>
        <w:tc>
          <w:tcPr>
            <w:tcW w:type="dxa" w:w="198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缺考</w:t>
            </w:r>
          </w:p>
        </w:tc>
        <w:tc>
          <w:tcPr>
            <w:tcW w:type="dxa" w:w="265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ABS</w:t>
            </w:r>
          </w:p>
        </w:tc>
      </w:tr>
    </w:tbl>
    <w:p>
      <w:pPr>
        <w:spacing w:after="20"/>
      </w:pPr>
    </w:p>
    <w:p>
      <w:r>
        <w:rPr>
          <w:rFonts w:ascii="Microsoft JhengHei" w:hAnsi="Microsoft JhengHei" w:eastAsia="Microsoft JhengHei"/>
          <w:b/>
          <w:sz w:val="21"/>
        </w:rPr>
        <w:t>後測與配對結果</w:t>
      </w:r>
    </w:p>
    <w:tbl>
      <w:tblPr>
        <w:tblW w:type="auto" w:w="0"/>
        <w:jc w:val="center"/>
        <w:tblLayout w:type="fixed"/>
        <w:tblLook w:firstColumn="1" w:firstRow="1" w:lastColumn="0" w:lastRow="0" w:noHBand="0" w:noVBand="1" w:val="04A0"/>
      </w:tblPr>
      <w:tblGrid>
        <w:gridCol w:w="1525"/>
        <w:gridCol w:w="1525"/>
        <w:gridCol w:w="1525"/>
        <w:gridCol w:w="1525"/>
        <w:gridCol w:w="1525"/>
        <w:gridCol w:w="1525"/>
        <w:gridCol w:w="1525"/>
        <w:gridCol w:w="1525"/>
        <w:gridCol w:w="1525"/>
        <w:gridCol w:w="1525"/>
      </w:tblGrid>
      <w:tr>
        <w:trPr>
          <w:cantSplit/>
          <w:tblHeader w:val="true"/>
        </w:trPr>
        <w:tc>
          <w:tcPr>
            <w:tcW w:type="dxa" w:w="1220"/>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學員代碼</w:t>
            </w:r>
          </w:p>
        </w:tc>
        <w:tc>
          <w:tcPr>
            <w:tcW w:type="dxa" w:w="106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T01</w:t>
            </w:r>
          </w:p>
        </w:tc>
        <w:tc>
          <w:tcPr>
            <w:tcW w:type="dxa" w:w="106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T02</w:t>
            </w:r>
          </w:p>
        </w:tc>
        <w:tc>
          <w:tcPr>
            <w:tcW w:type="dxa" w:w="106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T03</w:t>
            </w:r>
          </w:p>
        </w:tc>
        <w:tc>
          <w:tcPr>
            <w:tcW w:type="dxa" w:w="106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T04</w:t>
            </w:r>
          </w:p>
        </w:tc>
        <w:tc>
          <w:tcPr>
            <w:tcW w:type="dxa" w:w="106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T05</w:t>
            </w:r>
          </w:p>
        </w:tc>
        <w:tc>
          <w:tcPr>
            <w:tcW w:type="dxa" w:w="1372"/>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後測總分</w:t>
            </w:r>
          </w:p>
        </w:tc>
        <w:tc>
          <w:tcPr>
            <w:tcW w:type="dxa" w:w="1220"/>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配對差</w:t>
            </w:r>
          </w:p>
        </w:tc>
        <w:tc>
          <w:tcPr>
            <w:tcW w:type="dxa" w:w="1525"/>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結果</w:t>
            </w:r>
          </w:p>
        </w:tc>
        <w:tc>
          <w:tcPr>
            <w:tcW w:type="dxa" w:w="4575"/>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備註</w:t>
            </w:r>
          </w:p>
        </w:tc>
      </w:tr>
      <w:tr>
        <w:trPr>
          <w:cantSplit/>
        </w:trPr>
        <w:tc>
          <w:tcPr>
            <w:tcW w:type="dxa" w:w="122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P01</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372"/>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100</w:t>
            </w:r>
          </w:p>
        </w:tc>
        <w:tc>
          <w:tcPr>
            <w:tcW w:type="dxa" w:w="122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+50</w:t>
            </w:r>
          </w:p>
        </w:tc>
        <w:tc>
          <w:tcPr>
            <w:tcW w:type="dxa" w:w="152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合格 (PASS)</w:t>
            </w:r>
          </w:p>
        </w:tc>
        <w:tc>
          <w:tcPr>
            <w:tcW w:type="dxa" w:w="457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完成成對前後測</w:t>
            </w:r>
          </w:p>
        </w:tc>
      </w:tr>
      <w:tr>
        <w:trPr>
          <w:cantSplit/>
        </w:trPr>
        <w:tc>
          <w:tcPr>
            <w:tcW w:type="dxa" w:w="122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P02</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10</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20</w:t>
            </w:r>
          </w:p>
        </w:tc>
        <w:tc>
          <w:tcPr>
            <w:tcW w:type="dxa" w:w="1372"/>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90</w:t>
            </w:r>
          </w:p>
        </w:tc>
        <w:tc>
          <w:tcPr>
            <w:tcW w:type="dxa" w:w="122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+50</w:t>
            </w:r>
          </w:p>
        </w:tc>
        <w:tc>
          <w:tcPr>
            <w:tcW w:type="dxa" w:w="152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合格 (PASS)</w:t>
            </w:r>
          </w:p>
        </w:tc>
        <w:tc>
          <w:tcPr>
            <w:tcW w:type="dxa" w:w="457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完成成對前後測</w:t>
            </w:r>
          </w:p>
        </w:tc>
      </w:tr>
      <w:tr>
        <w:trPr>
          <w:cantSplit/>
        </w:trPr>
        <w:tc>
          <w:tcPr>
            <w:tcW w:type="dxa" w:w="122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P03</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10</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372"/>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90</w:t>
            </w:r>
          </w:p>
        </w:tc>
        <w:tc>
          <w:tcPr>
            <w:tcW w:type="dxa" w:w="122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+50</w:t>
            </w:r>
          </w:p>
        </w:tc>
        <w:tc>
          <w:tcPr>
            <w:tcW w:type="dxa" w:w="152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合格 (PASS)</w:t>
            </w:r>
          </w:p>
        </w:tc>
        <w:tc>
          <w:tcPr>
            <w:tcW w:type="dxa" w:w="457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完成成對前後測</w:t>
            </w:r>
          </w:p>
        </w:tc>
      </w:tr>
      <w:tr>
        <w:trPr>
          <w:cantSplit/>
        </w:trPr>
        <w:tc>
          <w:tcPr>
            <w:tcW w:type="dxa" w:w="122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P04</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10</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10</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20</w:t>
            </w:r>
          </w:p>
        </w:tc>
        <w:tc>
          <w:tcPr>
            <w:tcW w:type="dxa" w:w="1372"/>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80</w:t>
            </w:r>
          </w:p>
        </w:tc>
        <w:tc>
          <w:tcPr>
            <w:tcW w:type="dxa" w:w="122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+50</w:t>
            </w:r>
          </w:p>
        </w:tc>
        <w:tc>
          <w:tcPr>
            <w:tcW w:type="dxa" w:w="152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合格 (PASS)</w:t>
            </w:r>
          </w:p>
        </w:tc>
        <w:tc>
          <w:tcPr>
            <w:tcW w:type="dxa" w:w="457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完成成對前後測</w:t>
            </w:r>
          </w:p>
        </w:tc>
      </w:tr>
      <w:tr>
        <w:trPr>
          <w:cantSplit/>
        </w:trPr>
        <w:tc>
          <w:tcPr>
            <w:tcW w:type="dxa" w:w="122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P05</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372"/>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100</w:t>
            </w:r>
          </w:p>
        </w:tc>
        <w:tc>
          <w:tcPr>
            <w:tcW w:type="dxa" w:w="122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+40</w:t>
            </w:r>
          </w:p>
        </w:tc>
        <w:tc>
          <w:tcPr>
            <w:tcW w:type="dxa" w:w="152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合格 (PASS)</w:t>
            </w:r>
          </w:p>
        </w:tc>
        <w:tc>
          <w:tcPr>
            <w:tcW w:type="dxa" w:w="457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完成成對前後測</w:t>
            </w:r>
          </w:p>
        </w:tc>
      </w:tr>
      <w:tr>
        <w:trPr>
          <w:cantSplit/>
        </w:trPr>
        <w:tc>
          <w:tcPr>
            <w:tcW w:type="dxa" w:w="122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P06</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10</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10</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10</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20</w:t>
            </w:r>
          </w:p>
        </w:tc>
        <w:tc>
          <w:tcPr>
            <w:tcW w:type="dxa" w:w="1372"/>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70</w:t>
            </w:r>
          </w:p>
        </w:tc>
        <w:tc>
          <w:tcPr>
            <w:tcW w:type="dxa" w:w="122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+40</w:t>
            </w:r>
          </w:p>
        </w:tc>
        <w:tc>
          <w:tcPr>
            <w:tcW w:type="dxa" w:w="152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合格 (PASS)</w:t>
            </w:r>
          </w:p>
        </w:tc>
        <w:tc>
          <w:tcPr>
            <w:tcW w:type="dxa" w:w="457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完成成對前後測</w:t>
            </w:r>
          </w:p>
        </w:tc>
      </w:tr>
      <w:tr>
        <w:trPr>
          <w:cantSplit/>
        </w:trPr>
        <w:tc>
          <w:tcPr>
            <w:tcW w:type="dxa" w:w="122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P07</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20</w:t>
            </w:r>
          </w:p>
        </w:tc>
        <w:tc>
          <w:tcPr>
            <w:tcW w:type="dxa" w:w="1372"/>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100</w:t>
            </w:r>
          </w:p>
        </w:tc>
        <w:tc>
          <w:tcPr>
            <w:tcW w:type="dxa" w:w="122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+60</w:t>
            </w:r>
          </w:p>
        </w:tc>
        <w:tc>
          <w:tcPr>
            <w:tcW w:type="dxa" w:w="152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合格 (PASS)</w:t>
            </w:r>
          </w:p>
        </w:tc>
        <w:tc>
          <w:tcPr>
            <w:tcW w:type="dxa" w:w="457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完成成對前後測</w:t>
            </w:r>
          </w:p>
        </w:tc>
      </w:tr>
      <w:tr>
        <w:trPr>
          <w:cantSplit/>
        </w:trPr>
        <w:tc>
          <w:tcPr>
            <w:tcW w:type="dxa" w:w="122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P08</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10</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20</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10</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10</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10</w:t>
            </w:r>
          </w:p>
        </w:tc>
        <w:tc>
          <w:tcPr>
            <w:tcW w:type="dxa" w:w="1372"/>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60</w:t>
            </w:r>
          </w:p>
        </w:tc>
        <w:tc>
          <w:tcPr>
            <w:tcW w:type="dxa" w:w="122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+40</w:t>
            </w:r>
          </w:p>
        </w:tc>
        <w:tc>
          <w:tcPr>
            <w:tcW w:type="dxa" w:w="152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不合格 (FAIL)</w:t>
            </w:r>
          </w:p>
        </w:tc>
        <w:tc>
          <w:tcPr>
            <w:tcW w:type="dxa" w:w="457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完成成對前後測</w:t>
            </w:r>
          </w:p>
        </w:tc>
      </w:tr>
      <w:tr>
        <w:trPr>
          <w:cantSplit/>
        </w:trPr>
        <w:tc>
          <w:tcPr>
            <w:tcW w:type="dxa" w:w="122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P09</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缺考</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缺考</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缺考</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缺考</w:t>
            </w:r>
          </w:p>
        </w:tc>
        <w:tc>
          <w:tcPr>
            <w:tcW w:type="dxa" w:w="1067"/>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缺考</w:t>
            </w:r>
          </w:p>
        </w:tc>
        <w:tc>
          <w:tcPr>
            <w:tcW w:type="dxa" w:w="1372"/>
            <w:vAlign w:val="top"/>
            <w:tcMar>
              <w:top w:w="65" w:type="dxa"/>
              <w:start w:w="65" w:type="dxa"/>
              <w:bottom w:w="65" w:type="dxa"/>
              <w:end w:w="65" w:type="dxa"/>
            </w:tcMar>
          </w:tcPr>
          <w:p>
            <w:pPr>
              <w:spacing w:after="0" w:before="0" w:line="240" w:lineRule="auto"/>
              <w:jc w:val="center"/>
            </w:pPr>
            <w:r/>
            <w:r>
              <w:rPr>
                <w:rFonts w:ascii="Microsoft JhengHei" w:hAnsi="Microsoft JhengHei" w:eastAsia="Microsoft JhengHei"/>
                <w:b w:val="0"/>
                <w:sz w:val="19"/>
              </w:rPr>
              <w:t>ABS</w:t>
            </w:r>
          </w:p>
        </w:tc>
        <w:tc>
          <w:tcPr>
            <w:tcW w:type="dxa" w:w="122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w:t>
            </w:r>
          </w:p>
        </w:tc>
        <w:tc>
          <w:tcPr>
            <w:tcW w:type="dxa" w:w="152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缺考 (ABS)</w:t>
            </w:r>
          </w:p>
        </w:tc>
        <w:tc>
          <w:tcPr>
            <w:tcW w:type="dxa" w:w="457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提前離席缺後測</w:t>
            </w:r>
          </w:p>
        </w:tc>
      </w:tr>
      <w:tr>
        <w:trPr>
          <w:cantSplit/>
        </w:trPr>
        <w:tc>
          <w:tcPr>
            <w:tcW w:type="dxa" w:w="122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P10</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缺考</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缺考</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缺考</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缺考</w:t>
            </w:r>
          </w:p>
        </w:tc>
        <w:tc>
          <w:tcPr>
            <w:tcW w:type="dxa" w:w="1067"/>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缺考</w:t>
            </w:r>
          </w:p>
        </w:tc>
        <w:tc>
          <w:tcPr>
            <w:tcW w:type="dxa" w:w="1372"/>
            <w:vAlign w:val="top"/>
            <w:tcMar>
              <w:top w:w="65" w:type="dxa"/>
              <w:start w:w="65" w:type="dxa"/>
              <w:bottom w:w="65" w:type="dxa"/>
              <w:end w:w="65" w:type="dxa"/>
            </w:tcMar>
            <w:shd w:fill="F1F5F9"/>
          </w:tcPr>
          <w:p>
            <w:pPr>
              <w:spacing w:after="0" w:before="0" w:line="240" w:lineRule="auto"/>
              <w:jc w:val="center"/>
            </w:pPr>
            <w:r/>
            <w:r>
              <w:rPr>
                <w:rFonts w:ascii="Microsoft JhengHei" w:hAnsi="Microsoft JhengHei" w:eastAsia="Microsoft JhengHei"/>
                <w:b w:val="0"/>
                <w:sz w:val="19"/>
              </w:rPr>
              <w:t>ABS</w:t>
            </w:r>
          </w:p>
        </w:tc>
        <w:tc>
          <w:tcPr>
            <w:tcW w:type="dxa" w:w="122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w:t>
            </w:r>
          </w:p>
        </w:tc>
        <w:tc>
          <w:tcPr>
            <w:tcW w:type="dxa" w:w="152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缺考 (ABS)</w:t>
            </w:r>
          </w:p>
        </w:tc>
        <w:tc>
          <w:tcPr>
            <w:tcW w:type="dxa" w:w="457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未出席示範課程，前測與後測均缺考（ABS）</w:t>
            </w:r>
          </w:p>
        </w:tc>
      </w:tr>
    </w:tbl>
    <w:p>
      <w:pPr>
        <w:spacing w:after="20"/>
      </w:pPr>
    </w:p>
    <w:p>
      <w:pPr>
        <w:pStyle w:val="Heading2"/>
      </w:pPr>
      <w:r>
        <w:rPr>
          <w:rFonts w:ascii="Microsoft JhengHei" w:hAnsi="Microsoft JhengHei" w:eastAsia="Microsoft JhengHei"/>
          <w:b w:val="0"/>
          <w:sz w:val="25"/>
        </w:rPr>
        <w:t>8.2 評量樣本流向與成對檢定樣本基數說明</w:t>
      </w:r>
    </w:p>
    <w:p>
      <w:pPr>
        <w:pStyle w:val="ListBullet"/>
        <w:ind w:left="403" w:hanging="216"/>
      </w:pPr>
      <w:r>
        <w:rPr>
          <w:rFonts w:ascii="Microsoft JhengHei" w:hAnsi="Microsoft JhengHei" w:eastAsia="Microsoft JhengHei"/>
          <w:b/>
          <w:sz w:val="21"/>
        </w:rPr>
        <w:t>前測實考人數</w:t>
      </w:r>
      <w:r>
        <w:rPr>
          <w:rFonts w:ascii="Microsoft JhengHei" w:hAnsi="Microsoft JhengHei" w:eastAsia="Microsoft JhengHei"/>
          <w:b w:val="0"/>
          <w:sz w:val="21"/>
        </w:rPr>
        <w:t>：9 人（P01 至 P09），其中 P10 因病請假全日缺考。</w:t>
      </w:r>
    </w:p>
    <w:p>
      <w:pPr>
        <w:pStyle w:val="ListBullet"/>
        <w:ind w:left="403" w:hanging="216"/>
      </w:pPr>
      <w:r>
        <w:rPr>
          <w:rFonts w:ascii="Microsoft JhengHei" w:hAnsi="Microsoft JhengHei" w:eastAsia="Microsoft JhengHei"/>
          <w:b/>
          <w:sz w:val="21"/>
        </w:rPr>
        <w:t>後測實考人數</w:t>
      </w:r>
      <w:r>
        <w:rPr>
          <w:rFonts w:ascii="Microsoft JhengHei" w:hAnsi="Microsoft JhengHei" w:eastAsia="Microsoft JhengHei"/>
          <w:b w:val="0"/>
          <w:sz w:val="21"/>
        </w:rPr>
        <w:t>：8 人（P01 至 P08），其中 P09 下午實作時段因家庭緊急事故離席缺考。</w:t>
      </w:r>
    </w:p>
    <w:p>
      <w:pPr>
        <w:pStyle w:val="ListBullet"/>
        <w:ind w:left="403" w:hanging="216"/>
      </w:pPr>
      <w:r>
        <w:rPr>
          <w:rFonts w:ascii="Microsoft JhengHei" w:hAnsi="Microsoft JhengHei" w:eastAsia="Microsoft JhengHei"/>
          <w:b/>
          <w:sz w:val="21"/>
        </w:rPr>
        <w:t>具備成對比較資格人數（Matched Pairs N_PAIRED）</w:t>
      </w:r>
      <w:r>
        <w:rPr>
          <w:rFonts w:ascii="Microsoft JhengHei" w:hAnsi="Microsoft JhengHei" w:eastAsia="Microsoft JhengHei"/>
          <w:b w:val="0"/>
          <w:sz w:val="21"/>
        </w:rPr>
        <w:t>：</w:t>
      </w:r>
      <w:r>
        <w:rPr>
          <w:rFonts w:ascii="Microsoft JhengHei" w:hAnsi="Microsoft JhengHei" w:eastAsia="Microsoft JhengHei"/>
          <w:b/>
          <w:sz w:val="21"/>
        </w:rPr>
        <w:t>8 人</w:t>
      </w:r>
      <w:r>
        <w:rPr>
          <w:rFonts w:ascii="Microsoft JhengHei" w:hAnsi="Microsoft JhengHei" w:eastAsia="Microsoft JhengHei"/>
          <w:b w:val="0"/>
          <w:sz w:val="21"/>
        </w:rPr>
        <w:t>（P01 至 P08）。</w:t>
      </w:r>
    </w:p>
    <w:p>
      <w:pPr>
        <w:pStyle w:val="ListBullet"/>
        <w:ind w:left="403" w:hanging="216"/>
      </w:pPr>
      <w:r>
        <w:rPr>
          <w:rFonts w:ascii="Microsoft JhengHei" w:hAnsi="Microsoft JhengHei" w:eastAsia="Microsoft JhengHei"/>
          <w:b/>
          <w:sz w:val="21"/>
        </w:rPr>
        <w:t>統計處理規則</w:t>
      </w:r>
      <w:r>
        <w:rPr>
          <w:rFonts w:ascii="Microsoft JhengHei" w:hAnsi="Microsoft JhengHei" w:eastAsia="Microsoft JhengHei"/>
          <w:b w:val="0"/>
          <w:sz w:val="21"/>
        </w:rPr>
        <w:t>：成對進步幅度 Δ X̄ 嚴格僅採計同時完成前後測之 8 名學員。P09 之單獨前測成績（10 分）僅留存為教學診斷參考，嚴格排除於前後測差異檢定之外，避免扭曲平均進步量。</w:t>
      </w:r>
    </w:p>
    <w:p>
      <w:pPr>
        <w:pStyle w:val="Heading1"/>
      </w:pPr>
      <w:r>
        <w:rPr>
          <w:rFonts w:ascii="Microsoft JhengHei" w:hAnsi="Microsoft JhengHei" w:eastAsia="Microsoft JhengHei"/>
          <w:b w:val="0"/>
          <w:sz w:val="30"/>
        </w:rPr>
        <w:t>9. 統計計算成果與整合分析表（Results &amp; Empirical Computations）</w:t>
      </w:r>
    </w:p>
    <w:p>
      <w:r>
        <w:rPr>
          <w:rFonts w:ascii="Microsoft JhengHei" w:hAnsi="Microsoft JhengHei" w:eastAsia="Microsoft JhengHei"/>
          <w:b w:val="0"/>
          <w:sz w:val="21"/>
        </w:rPr>
        <w:t>以下統計均由本文件列出的合成逐筆數據計算；四捨五入至小數點後兩位（百分比一位），讀者可依表內分子、分母重算：</w:t>
      </w:r>
    </w:p>
    <w:p>
      <w:pPr>
        <w:pStyle w:val="Heading2"/>
      </w:pPr>
      <w:r>
        <w:rPr>
          <w:rFonts w:ascii="Microsoft JhengHei" w:hAnsi="Microsoft JhengHei" w:eastAsia="Microsoft JhengHei"/>
          <w:b w:val="0"/>
          <w:sz w:val="25"/>
        </w:rPr>
        <w:t>9.1 滿意度各題項統計摘要表（Item-Level Satisfaction Analysis）</w:t>
      </w:r>
    </w:p>
    <w:p>
      <w:r>
        <w:rPr>
          <w:rFonts w:ascii="Microsoft JhengHei" w:hAnsi="Microsoft JhengHei" w:eastAsia="Microsoft JhengHei"/>
          <w:b w:val="0"/>
          <w:sz w:val="21"/>
        </w:rPr>
        <w:t>公式說明：</w:t>
      </w:r>
    </w:p>
    <w:p>
      <w:pPr>
        <w:pStyle w:val="ListBullet"/>
        <w:ind w:left="403" w:hanging="216"/>
      </w:pPr>
      <w:r>
        <w:rPr>
          <w:rFonts w:ascii="Microsoft JhengHei" w:hAnsi="Microsoft JhengHei" w:eastAsia="Microsoft JhengHei"/>
          <w:b w:val="0"/>
          <w:sz w:val="21"/>
        </w:rPr>
        <w:t>題項平均數 X̄_i = (總分和) / (n_i)</w:t>
      </w:r>
    </w:p>
    <w:p>
      <w:pPr>
        <w:pStyle w:val="ListBullet"/>
        <w:ind w:left="403" w:hanging="216"/>
      </w:pPr>
      <w:r>
        <w:rPr>
          <w:rFonts w:ascii="Microsoft JhengHei" w:hAnsi="Microsoft JhengHei" w:eastAsia="Microsoft JhengHei"/>
          <w:b w:val="0"/>
          <w:sz w:val="21"/>
        </w:rPr>
        <w:t>正向滿意人數 = 勾選 4 分（滿意）與 5 分（非常滿意）之人數累計</w:t>
      </w:r>
    </w:p>
    <w:p>
      <w:pPr>
        <w:pStyle w:val="ListBullet"/>
        <w:ind w:left="403" w:hanging="216"/>
      </w:pPr>
      <w:r>
        <w:rPr>
          <w:rFonts w:ascii="Microsoft JhengHei" w:hAnsi="Microsoft JhengHei" w:eastAsia="Microsoft JhengHei"/>
          <w:b w:val="0"/>
          <w:sz w:val="21"/>
        </w:rPr>
        <w:t>正向滿意率 = (正向滿意人數) / (n_i)  ×  100%</w:t>
      </w:r>
    </w:p>
    <w:tbl>
      <w:tblPr>
        <w:tblW w:type="auto" w:w="0"/>
        <w:jc w:val="center"/>
        <w:tblLayout w:type="fixed"/>
        <w:tblLook w:firstColumn="1" w:firstRow="1" w:lastColumn="0" w:lastRow="0" w:noHBand="0" w:noVBand="1" w:val="04A0"/>
      </w:tblPr>
      <w:tblGrid>
        <w:gridCol w:w="1694"/>
        <w:gridCol w:w="1694"/>
        <w:gridCol w:w="1694"/>
        <w:gridCol w:w="1694"/>
        <w:gridCol w:w="1694"/>
        <w:gridCol w:w="1694"/>
        <w:gridCol w:w="1694"/>
        <w:gridCol w:w="1694"/>
        <w:gridCol w:w="1694"/>
      </w:tblGrid>
      <w:tr>
        <w:trPr>
          <w:cantSplit/>
          <w:tblHeader w:val="true"/>
        </w:trPr>
        <w:tc>
          <w:tcPr>
            <w:tcW w:type="dxa" w:w="762"/>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題號</w:t>
            </w:r>
          </w:p>
        </w:tc>
        <w:tc>
          <w:tcPr>
            <w:tcW w:type="dxa" w:w="1779"/>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評量構面與題目摘要</w:t>
            </w:r>
          </w:p>
        </w:tc>
        <w:tc>
          <w:tcPr>
            <w:tcW w:type="dxa" w:w="1779"/>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有效填答數 (n_i)</w:t>
            </w:r>
          </w:p>
        </w:tc>
        <w:tc>
          <w:tcPr>
            <w:tcW w:type="dxa" w:w="1779"/>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遺漏或不適用</w:t>
            </w:r>
          </w:p>
        </w:tc>
        <w:tc>
          <w:tcPr>
            <w:tcW w:type="dxa" w:w="1271"/>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各題得分總和</w:t>
            </w:r>
          </w:p>
        </w:tc>
        <w:tc>
          <w:tcPr>
            <w:tcW w:type="dxa" w:w="2033"/>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題項平均得分 (X̄_i)</w:t>
            </w:r>
          </w:p>
        </w:tc>
        <w:tc>
          <w:tcPr>
            <w:tcW w:type="dxa" w:w="2287"/>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計算式與過程</w:t>
            </w:r>
          </w:p>
        </w:tc>
        <w:tc>
          <w:tcPr>
            <w:tcW w:type="dxa" w:w="1779"/>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正向滿意人數 (4–5分)</w:t>
            </w:r>
          </w:p>
        </w:tc>
        <w:tc>
          <w:tcPr>
            <w:tcW w:type="dxa" w:w="1779"/>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正向滿意率 (%)</w:t>
            </w:r>
          </w:p>
        </w:tc>
      </w:tr>
      <w:tr>
        <w:trPr>
          <w:cantSplit/>
        </w:trPr>
        <w:tc>
          <w:tcPr>
            <w:tcW w:type="dxa" w:w="76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Q01</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課程實用性符合服務需求</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9</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 (P10)</w:t>
            </w:r>
          </w:p>
        </w:tc>
        <w:tc>
          <w:tcPr>
            <w:tcW w:type="dxa" w:w="1271"/>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40</w:t>
            </w:r>
          </w:p>
        </w:tc>
        <w:tc>
          <w:tcPr>
            <w:tcW w:type="dxa" w:w="203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4.44</w:t>
            </w:r>
          </w:p>
        </w:tc>
        <w:tc>
          <w:tcPr>
            <w:tcW w:type="dxa" w:w="2287"/>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40  ÷  9 = 4.444…</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9</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100.0%</w:t>
            </w:r>
            <w:r>
              <w:rPr>
                <w:rFonts w:ascii="Microsoft JhengHei" w:hAnsi="Microsoft JhengHei" w:eastAsia="Microsoft JhengHei"/>
                <w:b w:val="0"/>
                <w:sz w:val="19"/>
              </w:rPr>
              <w:t xml:space="preserve"> (9/9)</w:t>
            </w:r>
          </w:p>
        </w:tc>
      </w:tr>
      <w:tr>
        <w:trPr>
          <w:cantSplit/>
        </w:trPr>
        <w:tc>
          <w:tcPr>
            <w:tcW w:type="dxa" w:w="76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Q02</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培訓目標與標準說明清晰</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9</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 (P10)</w:t>
            </w:r>
          </w:p>
        </w:tc>
        <w:tc>
          <w:tcPr>
            <w:tcW w:type="dxa" w:w="1271"/>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39</w:t>
            </w:r>
          </w:p>
        </w:tc>
        <w:tc>
          <w:tcPr>
            <w:tcW w:type="dxa" w:w="203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4.33</w:t>
            </w:r>
          </w:p>
        </w:tc>
        <w:tc>
          <w:tcPr>
            <w:tcW w:type="dxa" w:w="2287"/>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39  ÷  9 = 4.333…</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9</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100.0%</w:t>
            </w:r>
            <w:r>
              <w:rPr>
                <w:rFonts w:ascii="Microsoft JhengHei" w:hAnsi="Microsoft JhengHei" w:eastAsia="Microsoft JhengHei"/>
                <w:b w:val="0"/>
                <w:sz w:val="19"/>
              </w:rPr>
              <w:t xml:space="preserve"> (9/9)</w:t>
            </w:r>
          </w:p>
        </w:tc>
      </w:tr>
      <w:tr>
        <w:trPr>
          <w:cantSplit/>
        </w:trPr>
        <w:tc>
          <w:tcPr>
            <w:tcW w:type="dxa" w:w="76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Q03</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講師講解深入與耐心引導</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9</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 (P10)</w:t>
            </w:r>
          </w:p>
        </w:tc>
        <w:tc>
          <w:tcPr>
            <w:tcW w:type="dxa" w:w="1271"/>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40</w:t>
            </w:r>
          </w:p>
        </w:tc>
        <w:tc>
          <w:tcPr>
            <w:tcW w:type="dxa" w:w="203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4.44</w:t>
            </w:r>
          </w:p>
        </w:tc>
        <w:tc>
          <w:tcPr>
            <w:tcW w:type="dxa" w:w="2287"/>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40  ÷  9 = 4.444…</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9</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100.0%</w:t>
            </w:r>
            <w:r>
              <w:rPr>
                <w:rFonts w:ascii="Microsoft JhengHei" w:hAnsi="Microsoft JhengHei" w:eastAsia="Microsoft JhengHei"/>
                <w:b w:val="0"/>
                <w:sz w:val="19"/>
              </w:rPr>
              <w:t xml:space="preserve"> (9/9)</w:t>
            </w:r>
          </w:p>
        </w:tc>
      </w:tr>
      <w:tr>
        <w:trPr>
          <w:cantSplit/>
        </w:trPr>
        <w:tc>
          <w:tcPr>
            <w:tcW w:type="dxa" w:w="76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Q04</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教材講義與輔助圖卡實用</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9</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 (P10)</w:t>
            </w:r>
          </w:p>
        </w:tc>
        <w:tc>
          <w:tcPr>
            <w:tcW w:type="dxa" w:w="1271"/>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34</w:t>
            </w:r>
          </w:p>
        </w:tc>
        <w:tc>
          <w:tcPr>
            <w:tcW w:type="dxa" w:w="203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3.78</w:t>
            </w:r>
          </w:p>
        </w:tc>
        <w:tc>
          <w:tcPr>
            <w:tcW w:type="dxa" w:w="2287"/>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34  ÷  9 = 3.777…</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6</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66.7%</w:t>
            </w:r>
            <w:r>
              <w:rPr>
                <w:rFonts w:ascii="Microsoft JhengHei" w:hAnsi="Microsoft JhengHei" w:eastAsia="Microsoft JhengHei"/>
                <w:b w:val="0"/>
                <w:sz w:val="19"/>
              </w:rPr>
              <w:t xml:space="preserve"> (6/9)</w:t>
            </w:r>
          </w:p>
        </w:tc>
      </w:tr>
      <w:tr>
        <w:trPr>
          <w:cantSplit/>
        </w:trPr>
        <w:tc>
          <w:tcPr>
            <w:tcW w:type="dxa" w:w="76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Q05</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實作演練與互動時間充足</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9</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 (P10)</w:t>
            </w:r>
          </w:p>
        </w:tc>
        <w:tc>
          <w:tcPr>
            <w:tcW w:type="dxa" w:w="1271"/>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31</w:t>
            </w:r>
          </w:p>
        </w:tc>
        <w:tc>
          <w:tcPr>
            <w:tcW w:type="dxa" w:w="203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3.44</w:t>
            </w:r>
          </w:p>
        </w:tc>
        <w:tc>
          <w:tcPr>
            <w:tcW w:type="dxa" w:w="2287"/>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31  ÷  9 = 3.444…</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4</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44.4%</w:t>
            </w:r>
            <w:r>
              <w:rPr>
                <w:rFonts w:ascii="Microsoft JhengHei" w:hAnsi="Microsoft JhengHei" w:eastAsia="Microsoft JhengHei"/>
                <w:b w:val="0"/>
                <w:sz w:val="19"/>
              </w:rPr>
              <w:t xml:space="preserve"> (4/9)</w:t>
            </w:r>
          </w:p>
        </w:tc>
      </w:tr>
      <w:tr>
        <w:trPr>
          <w:cantSplit/>
        </w:trPr>
        <w:tc>
          <w:tcPr>
            <w:tcW w:type="dxa" w:w="76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Q06</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培訓場地與設施器材完善</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9</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 (P10)</w:t>
            </w:r>
          </w:p>
        </w:tc>
        <w:tc>
          <w:tcPr>
            <w:tcW w:type="dxa" w:w="1271"/>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37</w:t>
            </w:r>
          </w:p>
        </w:tc>
        <w:tc>
          <w:tcPr>
            <w:tcW w:type="dxa" w:w="203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4.11</w:t>
            </w:r>
          </w:p>
        </w:tc>
        <w:tc>
          <w:tcPr>
            <w:tcW w:type="dxa" w:w="2287"/>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37  ÷  9 = 4.111…</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8</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88.9%</w:t>
            </w:r>
            <w:r>
              <w:rPr>
                <w:rFonts w:ascii="Microsoft JhengHei" w:hAnsi="Microsoft JhengHei" w:eastAsia="Microsoft JhengHei"/>
                <w:b w:val="0"/>
                <w:sz w:val="19"/>
              </w:rPr>
              <w:t xml:space="preserve"> (8/9)</w:t>
            </w:r>
          </w:p>
        </w:tc>
      </w:tr>
      <w:tr>
        <w:trPr>
          <w:cantSplit/>
        </w:trPr>
        <w:tc>
          <w:tcPr>
            <w:tcW w:type="dxa" w:w="76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Q07</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實作評量方式公正且客觀</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8</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2 (P09,P10)</w:t>
            </w:r>
          </w:p>
        </w:tc>
        <w:tc>
          <w:tcPr>
            <w:tcW w:type="dxa" w:w="1271"/>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34</w:t>
            </w:r>
          </w:p>
        </w:tc>
        <w:tc>
          <w:tcPr>
            <w:tcW w:type="dxa" w:w="203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4.25</w:t>
            </w:r>
          </w:p>
        </w:tc>
        <w:tc>
          <w:tcPr>
            <w:tcW w:type="dxa" w:w="2287"/>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34  ÷  8 = 4.250</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8</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100.0%</w:t>
            </w:r>
            <w:r>
              <w:rPr>
                <w:rFonts w:ascii="Microsoft JhengHei" w:hAnsi="Microsoft JhengHei" w:eastAsia="Microsoft JhengHei"/>
                <w:b w:val="0"/>
                <w:sz w:val="19"/>
              </w:rPr>
              <w:t xml:space="preserve"> (8/8)</w:t>
            </w:r>
          </w:p>
        </w:tc>
      </w:tr>
      <w:tr>
        <w:trPr>
          <w:cantSplit/>
        </w:trPr>
        <w:tc>
          <w:tcPr>
            <w:tcW w:type="dxa" w:w="76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Q08</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結訓後獨立操作之自信度</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8</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2 (P09,P10)</w:t>
            </w:r>
          </w:p>
        </w:tc>
        <w:tc>
          <w:tcPr>
            <w:tcW w:type="dxa" w:w="1271"/>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33</w:t>
            </w:r>
          </w:p>
        </w:tc>
        <w:tc>
          <w:tcPr>
            <w:tcW w:type="dxa" w:w="203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4.13</w:t>
            </w:r>
          </w:p>
        </w:tc>
        <w:tc>
          <w:tcPr>
            <w:tcW w:type="dxa" w:w="2287"/>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33  ÷  8 = 4.125</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7</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87.5%</w:t>
            </w:r>
            <w:r>
              <w:rPr>
                <w:rFonts w:ascii="Microsoft JhengHei" w:hAnsi="Microsoft JhengHei" w:eastAsia="Microsoft JhengHei"/>
                <w:b w:val="0"/>
                <w:sz w:val="19"/>
              </w:rPr>
              <w:t xml:space="preserve"> (7/8)</w:t>
            </w:r>
          </w:p>
        </w:tc>
      </w:tr>
      <w:tr>
        <w:trPr>
          <w:cantSplit/>
        </w:trPr>
        <w:tc>
          <w:tcPr>
            <w:tcW w:type="dxa" w:w="762"/>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Q09</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對本次培訓整體滿意程度</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8</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2 (P09,P10)</w:t>
            </w:r>
          </w:p>
        </w:tc>
        <w:tc>
          <w:tcPr>
            <w:tcW w:type="dxa" w:w="1271"/>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35</w:t>
            </w:r>
          </w:p>
        </w:tc>
        <w:tc>
          <w:tcPr>
            <w:tcW w:type="dxa" w:w="203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4.38</w:t>
            </w:r>
          </w:p>
        </w:tc>
        <w:tc>
          <w:tcPr>
            <w:tcW w:type="dxa" w:w="2287"/>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35  ÷  8 = 4.375</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8</w:t>
            </w:r>
          </w:p>
        </w:tc>
        <w:tc>
          <w:tcPr>
            <w:tcW w:type="dxa" w:w="177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100.0%</w:t>
            </w:r>
            <w:r>
              <w:rPr>
                <w:rFonts w:ascii="Microsoft JhengHei" w:hAnsi="Microsoft JhengHei" w:eastAsia="Microsoft JhengHei"/>
                <w:b w:val="0"/>
                <w:sz w:val="19"/>
              </w:rPr>
              <w:t xml:space="preserve"> (8/8)</w:t>
            </w:r>
          </w:p>
        </w:tc>
      </w:tr>
      <w:tr>
        <w:trPr>
          <w:cantSplit/>
        </w:trPr>
        <w:tc>
          <w:tcPr>
            <w:tcW w:type="dxa" w:w="762"/>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Q10</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行政班務與後勤支援周到</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8</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2 (P09,P10)</w:t>
            </w:r>
          </w:p>
        </w:tc>
        <w:tc>
          <w:tcPr>
            <w:tcW w:type="dxa" w:w="1271"/>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32</w:t>
            </w:r>
          </w:p>
        </w:tc>
        <w:tc>
          <w:tcPr>
            <w:tcW w:type="dxa" w:w="203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4.00</w:t>
            </w:r>
          </w:p>
        </w:tc>
        <w:tc>
          <w:tcPr>
            <w:tcW w:type="dxa" w:w="2287"/>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32  ÷  8 = 4.000</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6</w:t>
            </w:r>
          </w:p>
        </w:tc>
        <w:tc>
          <w:tcPr>
            <w:tcW w:type="dxa" w:w="177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75.0%</w:t>
            </w:r>
            <w:r>
              <w:rPr>
                <w:rFonts w:ascii="Microsoft JhengHei" w:hAnsi="Microsoft JhengHei" w:eastAsia="Microsoft JhengHei"/>
                <w:b w:val="0"/>
                <w:sz w:val="19"/>
              </w:rPr>
              <w:t xml:space="preserve"> (6/8)</w:t>
            </w:r>
          </w:p>
        </w:tc>
      </w:tr>
    </w:tbl>
    <w:p>
      <w:pPr>
        <w:spacing w:after="20"/>
      </w:pPr>
    </w:p>
    <w:p>
      <w:pPr>
        <w:spacing w:after="100"/>
        <w:ind w:left="288" w:right="216"/>
        <w:shd w:fill="EAF2F8"/>
      </w:pPr>
      <w:r>
        <w:rPr>
          <w:rFonts w:ascii="Microsoft JhengHei" w:hAnsi="Microsoft JhengHei" w:eastAsia="Microsoft JhengHei"/>
          <w:b/>
          <w:sz w:val="21"/>
        </w:rPr>
        <w:t>滿意度統計焦點發現</w:t>
      </w:r>
      <w:r>
        <w:rPr>
          <w:rFonts w:ascii="Microsoft JhengHei" w:hAnsi="Microsoft JhengHei" w:eastAsia="Microsoft JhengHei"/>
          <w:b w:val="0"/>
          <w:sz w:val="21"/>
        </w:rPr>
        <w:t>：</w:t>
      </w:r>
    </w:p>
    <w:p>
      <w:pPr>
        <w:spacing w:after="100"/>
        <w:ind w:left="288" w:right="216"/>
        <w:shd w:fill="EAF2F8"/>
      </w:pPr>
      <w:r>
        <w:rPr>
          <w:rFonts w:ascii="Microsoft JhengHei" w:hAnsi="Microsoft JhengHei" w:eastAsia="Microsoft JhengHei"/>
          <w:b w:val="0"/>
          <w:sz w:val="21"/>
        </w:rPr>
        <w:t xml:space="preserve">1. 本合成樣本平均得分最高題項為 </w:t>
      </w:r>
      <w:r>
        <w:rPr>
          <w:rFonts w:ascii="Microsoft JhengHei" w:hAnsi="Microsoft JhengHei" w:eastAsia="Microsoft JhengHei"/>
          <w:b/>
          <w:sz w:val="21"/>
        </w:rPr>
        <w:t>Q01（4.44 分，正向率 100%）</w:t>
      </w:r>
      <w:r>
        <w:rPr>
          <w:rFonts w:ascii="Microsoft JhengHei" w:hAnsi="Microsoft JhengHei" w:eastAsia="Microsoft JhengHei"/>
          <w:b w:val="0"/>
          <w:sz w:val="21"/>
        </w:rPr>
        <w:t xml:space="preserve"> 與 </w:t>
      </w:r>
      <w:r>
        <w:rPr>
          <w:rFonts w:ascii="Microsoft JhengHei" w:hAnsi="Microsoft JhengHei" w:eastAsia="Microsoft JhengHei"/>
          <w:b/>
          <w:sz w:val="21"/>
        </w:rPr>
        <w:t>Q03（4.44 分，正向率 100%）</w:t>
      </w:r>
      <w:r>
        <w:rPr>
          <w:rFonts w:ascii="Microsoft JhengHei" w:hAnsi="Microsoft JhengHei" w:eastAsia="Microsoft JhengHei"/>
          <w:b w:val="0"/>
          <w:sz w:val="21"/>
        </w:rPr>
        <w:t>，顯示學員對實務導向的課程內容與講師引導技巧高度肯定。</w:t>
      </w:r>
    </w:p>
    <w:p>
      <w:pPr>
        <w:spacing w:after="100"/>
        <w:ind w:left="288" w:right="216"/>
        <w:shd w:fill="EAF2F8"/>
      </w:pPr>
      <w:r>
        <w:rPr>
          <w:rFonts w:ascii="Microsoft JhengHei" w:hAnsi="Microsoft JhengHei" w:eastAsia="Microsoft JhengHei"/>
          <w:b w:val="0"/>
          <w:sz w:val="21"/>
        </w:rPr>
        <w:t xml:space="preserve">2. </w:t>
      </w:r>
      <w:r>
        <w:rPr>
          <w:rFonts w:ascii="Microsoft JhengHei" w:hAnsi="Microsoft JhengHei" w:eastAsia="Microsoft JhengHei"/>
          <w:b/>
          <w:sz w:val="21"/>
        </w:rPr>
        <w:t>最低分題項為 Q05（實作演練充足度），平均僅 3.44 分，正向滿意率僅 44.4%（低於本示範採用的 70% 預警線（SAMPLE，未獲協會核定））</w:t>
      </w:r>
      <w:r>
        <w:rPr>
          <w:rFonts w:ascii="Microsoft JhengHei" w:hAnsi="Microsoft JhengHei" w:eastAsia="Microsoft JhengHei"/>
          <w:b w:val="0"/>
          <w:sz w:val="21"/>
        </w:rPr>
        <w:t xml:space="preserve">；次低分為 </w:t>
      </w:r>
      <w:r>
        <w:rPr>
          <w:rFonts w:ascii="Microsoft JhengHei" w:hAnsi="Microsoft JhengHei" w:eastAsia="Microsoft JhengHei"/>
          <w:b/>
          <w:sz w:val="21"/>
        </w:rPr>
        <w:t>Q04（教材實用性），平均 3.78 分，正向率 66.7%</w:t>
      </w:r>
      <w:r>
        <w:rPr>
          <w:rFonts w:ascii="Microsoft JhengHei" w:hAnsi="Microsoft JhengHei" w:eastAsia="Microsoft JhengHei"/>
          <w:b w:val="0"/>
          <w:sz w:val="21"/>
        </w:rPr>
        <w:t>。此二項落差精準指向後續教學改善之關鍵節點。</w:t>
      </w:r>
    </w:p>
    <w:p>
      <w:pPr>
        <w:pStyle w:val="Heading2"/>
      </w:pPr>
      <w:r>
        <w:rPr>
          <w:rFonts w:ascii="Microsoft JhengHei" w:hAnsi="Microsoft JhengHei" w:eastAsia="Microsoft JhengHei"/>
          <w:b w:val="0"/>
          <w:sz w:val="25"/>
        </w:rPr>
        <w:t>9.2 綜合滿意度指標計算（Composite Satisfaction Score）</w:t>
      </w:r>
    </w:p>
    <w:p>
      <w:r>
        <w:rPr>
          <w:rFonts w:ascii="Microsoft JhengHei" w:hAnsi="Microsoft JhengHei" w:eastAsia="Microsoft JhengHei"/>
          <w:b w:val="0"/>
          <w:sz w:val="21"/>
        </w:rPr>
        <w:t>依據規範，綜合滿意度指標僅採計完整填答之 8 份有效問卷（P01 至 P08，共 80 個填答格）：</w:t>
      </w:r>
    </w:p>
    <w:p>
      <w:pPr>
        <w:pStyle w:val="ListBullet"/>
        <w:ind w:left="403" w:hanging="216"/>
      </w:pPr>
      <w:r>
        <w:rPr>
          <w:rFonts w:ascii="Microsoft JhengHei" w:hAnsi="Microsoft JhengHei" w:eastAsia="Microsoft JhengHei"/>
          <w:b/>
          <w:sz w:val="21"/>
        </w:rPr>
        <w:t>有效填答題數總計</w:t>
      </w:r>
      <w:r>
        <w:rPr>
          <w:rFonts w:ascii="Microsoft JhengHei" w:hAnsi="Microsoft JhengHei" w:eastAsia="Microsoft JhengHei"/>
          <w:b w:val="0"/>
          <w:sz w:val="21"/>
        </w:rPr>
        <w:t>：8  份  ×  10  題 = 80  題次。</w:t>
      </w:r>
    </w:p>
    <w:p>
      <w:pPr>
        <w:pStyle w:val="ListBullet"/>
        <w:ind w:left="403" w:hanging="216"/>
      </w:pPr>
      <w:r>
        <w:rPr>
          <w:rFonts w:ascii="Microsoft JhengHei" w:hAnsi="Microsoft JhengHei" w:eastAsia="Microsoft JhengHei"/>
          <w:b/>
          <w:sz w:val="21"/>
        </w:rPr>
        <w:t>8 位學員總分加總</w:t>
      </w:r>
      <w:r>
        <w:rPr>
          <w:rFonts w:ascii="Microsoft JhengHei" w:hAnsi="Microsoft JhengHei" w:eastAsia="Microsoft JhengHei"/>
          <w:b w:val="0"/>
          <w:sz w:val="21"/>
        </w:rPr>
        <w:t>：</w:t>
      </w:r>
    </w:p>
    <w:p>
      <w:r>
        <w:rPr>
          <w:rFonts w:ascii="Microsoft JhengHei" w:hAnsi="Microsoft JhengHei" w:eastAsia="Microsoft JhengHei"/>
          <w:b w:val="0"/>
          <w:sz w:val="21"/>
        </w:rPr>
        <w:t>Σ Score = 46 + 40 + 42 + 38 + 48 + 38 + 44 + 37 = 333  分</w:t>
      </w:r>
    </w:p>
    <w:p>
      <w:pPr>
        <w:pStyle w:val="ListBullet"/>
        <w:ind w:left="403" w:hanging="216"/>
      </w:pPr>
      <w:r>
        <w:rPr>
          <w:rFonts w:ascii="Microsoft JhengHei" w:hAnsi="Microsoft JhengHei" w:eastAsia="Microsoft JhengHei"/>
          <w:b/>
          <w:sz w:val="21"/>
        </w:rPr>
        <w:t>綜合滿意度平均總分（Composite Mean）</w:t>
      </w:r>
      <w:r>
        <w:rPr>
          <w:rFonts w:ascii="Microsoft JhengHei" w:hAnsi="Microsoft JhengHei" w:eastAsia="Microsoft JhengHei"/>
          <w:b w:val="0"/>
          <w:sz w:val="21"/>
        </w:rPr>
        <w:t>：</w:t>
      </w:r>
    </w:p>
    <w:p>
      <w:r>
        <w:rPr>
          <w:rFonts w:ascii="Microsoft JhengHei" w:hAnsi="Microsoft JhengHei" w:eastAsia="Microsoft JhengHei"/>
          <w:b w:val="0"/>
          <w:sz w:val="21"/>
        </w:rPr>
        <w:t>X̄_ALL = (333) / (80) = 4.1625 approx 4.16  分（五點量尺）</w:t>
      </w:r>
    </w:p>
    <w:p>
      <w:pPr>
        <w:keepNext/>
        <w:spacing w:before="80" w:after="60"/>
      </w:pPr>
      <w:r>
        <w:rPr>
          <w:b/>
          <w:sz w:val="21"/>
        </w:rPr>
        <w:t>完整問卷作答分數分布（80 個有效題次）</w:t>
      </w:r>
    </w:p>
    <w:p>
      <w:pPr>
        <w:keepNext/>
        <w:spacing w:before="80" w:after="60"/>
      </w:pPr>
      <w:r>
        <w:rPr>
          <w:b w:val="0"/>
          <w:sz w:val="21"/>
        </w:rPr>
        <w:t>僅計 P01–P08 完整卷的 80 個有效題次。P09 的 6 格仍納入 Q01–Q06 單題統計，但不納入本分布；P10 全卷未回覆。各分值比例＝該分值作答格數 ÷ 80 × 100%。</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808"/>
        <w:gridCol w:w="2376"/>
        <w:gridCol w:w="2376"/>
        <w:gridCol w:w="2376"/>
        <w:gridCol w:w="2376"/>
        <w:gridCol w:w="2376"/>
      </w:tblGrid>
      <w:tr>
        <w:trPr>
          <w:tblHeader w:val="true"/>
        </w:trPr>
        <w:tc>
          <w:tcPr>
            <w:tcW w:type="dxa" w:w="2808"/>
            <w:tcMar>
              <w:top w:w="85" w:type="dxa"/>
              <w:start w:w="95" w:type="dxa"/>
              <w:bottom w:w="85" w:type="dxa"/>
              <w:end w:w="95" w:type="dxa"/>
            </w:tcMar>
            <w:shd w:fill="17365D" w:val="clear"/>
            <w:vAlign w:val="center"/>
          </w:tcPr>
          <w:p>
            <w:pPr>
              <w:spacing w:before="0" w:after="0" w:line="252" w:lineRule="auto"/>
              <w:jc w:val="center"/>
            </w:pPr>
            <w:r/>
            <w:r>
              <w:rPr>
                <w:b/>
                <w:color w:val="FFFFFF"/>
                <w:sz w:val="21"/>
              </w:rPr>
              <w:t>分數值</w:t>
            </w:r>
          </w:p>
        </w:tc>
        <w:tc>
          <w:tcPr>
            <w:tcW w:type="dxa" w:w="2376"/>
            <w:tcMar>
              <w:top w:w="85" w:type="dxa"/>
              <w:start w:w="95" w:type="dxa"/>
              <w:bottom w:w="85" w:type="dxa"/>
              <w:end w:w="95" w:type="dxa"/>
            </w:tcMar>
            <w:shd w:fill="17365D" w:val="clear"/>
            <w:vAlign w:val="center"/>
          </w:tcPr>
          <w:p>
            <w:pPr>
              <w:spacing w:before="0" w:after="0" w:line="252" w:lineRule="auto"/>
              <w:jc w:val="center"/>
            </w:pPr>
            <w:r/>
            <w:r>
              <w:rPr>
                <w:b/>
                <w:color w:val="FFFFFF"/>
                <w:sz w:val="21"/>
              </w:rPr>
              <w:t>1</w:t>
            </w:r>
          </w:p>
        </w:tc>
        <w:tc>
          <w:tcPr>
            <w:tcW w:type="dxa" w:w="2376"/>
            <w:tcMar>
              <w:top w:w="85" w:type="dxa"/>
              <w:start w:w="95" w:type="dxa"/>
              <w:bottom w:w="85" w:type="dxa"/>
              <w:end w:w="95" w:type="dxa"/>
            </w:tcMar>
            <w:shd w:fill="17365D" w:val="clear"/>
            <w:vAlign w:val="center"/>
          </w:tcPr>
          <w:p>
            <w:pPr>
              <w:spacing w:before="0" w:after="0" w:line="252" w:lineRule="auto"/>
              <w:jc w:val="center"/>
            </w:pPr>
            <w:r/>
            <w:r>
              <w:rPr>
                <w:b/>
                <w:color w:val="FFFFFF"/>
                <w:sz w:val="21"/>
              </w:rPr>
              <w:t>2</w:t>
            </w:r>
          </w:p>
        </w:tc>
        <w:tc>
          <w:tcPr>
            <w:tcW w:type="dxa" w:w="2376"/>
            <w:tcMar>
              <w:top w:w="85" w:type="dxa"/>
              <w:start w:w="95" w:type="dxa"/>
              <w:bottom w:w="85" w:type="dxa"/>
              <w:end w:w="95" w:type="dxa"/>
            </w:tcMar>
            <w:shd w:fill="17365D" w:val="clear"/>
            <w:vAlign w:val="center"/>
          </w:tcPr>
          <w:p>
            <w:pPr>
              <w:spacing w:before="0" w:after="0" w:line="252" w:lineRule="auto"/>
              <w:jc w:val="center"/>
            </w:pPr>
            <w:r/>
            <w:r>
              <w:rPr>
                <w:b/>
                <w:color w:val="FFFFFF"/>
                <w:sz w:val="21"/>
              </w:rPr>
              <w:t>3</w:t>
            </w:r>
          </w:p>
        </w:tc>
        <w:tc>
          <w:tcPr>
            <w:tcW w:type="dxa" w:w="2376"/>
            <w:tcMar>
              <w:top w:w="85" w:type="dxa"/>
              <w:start w:w="95" w:type="dxa"/>
              <w:bottom w:w="85" w:type="dxa"/>
              <w:end w:w="95" w:type="dxa"/>
            </w:tcMar>
            <w:shd w:fill="17365D" w:val="clear"/>
            <w:vAlign w:val="center"/>
          </w:tcPr>
          <w:p>
            <w:pPr>
              <w:spacing w:before="0" w:after="0" w:line="252" w:lineRule="auto"/>
              <w:jc w:val="center"/>
            </w:pPr>
            <w:r/>
            <w:r>
              <w:rPr>
                <w:b/>
                <w:color w:val="FFFFFF"/>
                <w:sz w:val="21"/>
              </w:rPr>
              <w:t>4</w:t>
            </w:r>
          </w:p>
        </w:tc>
        <w:tc>
          <w:tcPr>
            <w:tcW w:type="dxa" w:w="2376"/>
            <w:tcMar>
              <w:top w:w="85" w:type="dxa"/>
              <w:start w:w="95" w:type="dxa"/>
              <w:bottom w:w="85" w:type="dxa"/>
              <w:end w:w="95" w:type="dxa"/>
            </w:tcMar>
            <w:shd w:fill="17365D" w:val="clear"/>
            <w:vAlign w:val="center"/>
          </w:tcPr>
          <w:p>
            <w:pPr>
              <w:spacing w:before="0" w:after="0" w:line="252" w:lineRule="auto"/>
              <w:jc w:val="center"/>
            </w:pPr>
            <w:r/>
            <w:r>
              <w:rPr>
                <w:b/>
                <w:color w:val="FFFFFF"/>
                <w:sz w:val="21"/>
              </w:rPr>
              <w:t>5</w:t>
            </w:r>
          </w:p>
        </w:tc>
      </w:tr>
      <w:tr>
        <w:tc>
          <w:tcPr>
            <w:tcW w:type="dxa" w:w="2808"/>
            <w:tcMar>
              <w:top w:w="85" w:type="dxa"/>
              <w:start w:w="95" w:type="dxa"/>
              <w:bottom w:w="85" w:type="dxa"/>
              <w:end w:w="95" w:type="dxa"/>
            </w:tcMar>
            <w:shd w:fill="FFFFFF" w:val="clear"/>
            <w:vAlign w:val="center"/>
          </w:tcPr>
          <w:p>
            <w:pPr>
              <w:spacing w:before="0" w:after="0" w:line="252" w:lineRule="auto"/>
              <w:jc w:val="center"/>
            </w:pPr>
            <w:r/>
            <w:r>
              <w:rPr>
                <w:b/>
                <w:color w:val="000000"/>
                <w:sz w:val="21"/>
              </w:rPr>
              <w:t>作答格數</w:t>
            </w:r>
          </w:p>
        </w:tc>
        <w:tc>
          <w:tcPr>
            <w:tcW w:type="dxa" w:w="2376"/>
            <w:tcMar>
              <w:top w:w="85" w:type="dxa"/>
              <w:start w:w="95" w:type="dxa"/>
              <w:bottom w:w="85" w:type="dxa"/>
              <w:end w:w="95" w:type="dxa"/>
            </w:tcMar>
            <w:shd w:fill="FFFFFF" w:val="clear"/>
            <w:vAlign w:val="center"/>
          </w:tcPr>
          <w:p>
            <w:pPr>
              <w:spacing w:before="0" w:after="0" w:line="252" w:lineRule="auto"/>
              <w:jc w:val="center"/>
            </w:pPr>
            <w:r/>
            <w:r>
              <w:rPr>
                <w:b w:val="0"/>
                <w:color w:val="000000"/>
                <w:sz w:val="21"/>
              </w:rPr>
              <w:t>0</w:t>
            </w:r>
          </w:p>
        </w:tc>
        <w:tc>
          <w:tcPr>
            <w:tcW w:type="dxa" w:w="2376"/>
            <w:tcMar>
              <w:top w:w="85" w:type="dxa"/>
              <w:start w:w="95" w:type="dxa"/>
              <w:bottom w:w="85" w:type="dxa"/>
              <w:end w:w="95" w:type="dxa"/>
            </w:tcMar>
            <w:shd w:fill="FFFFFF" w:val="clear"/>
            <w:vAlign w:val="center"/>
          </w:tcPr>
          <w:p>
            <w:pPr>
              <w:spacing w:before="0" w:after="0" w:line="252" w:lineRule="auto"/>
              <w:jc w:val="center"/>
            </w:pPr>
            <w:r/>
            <w:r>
              <w:rPr>
                <w:b w:val="0"/>
                <w:color w:val="000000"/>
                <w:sz w:val="21"/>
              </w:rPr>
              <w:t>0</w:t>
            </w:r>
          </w:p>
        </w:tc>
        <w:tc>
          <w:tcPr>
            <w:tcW w:type="dxa" w:w="2376"/>
            <w:tcMar>
              <w:top w:w="85" w:type="dxa"/>
              <w:start w:w="95" w:type="dxa"/>
              <w:bottom w:w="85" w:type="dxa"/>
              <w:end w:w="95" w:type="dxa"/>
            </w:tcMar>
            <w:shd w:fill="FFFFFF" w:val="clear"/>
            <w:vAlign w:val="center"/>
          </w:tcPr>
          <w:p>
            <w:pPr>
              <w:spacing w:before="0" w:after="0" w:line="252" w:lineRule="auto"/>
              <w:jc w:val="center"/>
            </w:pPr>
            <w:r/>
            <w:r>
              <w:rPr>
                <w:b w:val="0"/>
                <w:color w:val="000000"/>
                <w:sz w:val="21"/>
              </w:rPr>
              <w:t>10</w:t>
            </w:r>
          </w:p>
        </w:tc>
        <w:tc>
          <w:tcPr>
            <w:tcW w:type="dxa" w:w="2376"/>
            <w:tcMar>
              <w:top w:w="85" w:type="dxa"/>
              <w:start w:w="95" w:type="dxa"/>
              <w:bottom w:w="85" w:type="dxa"/>
              <w:end w:w="95" w:type="dxa"/>
            </w:tcMar>
            <w:shd w:fill="FFFFFF" w:val="clear"/>
            <w:vAlign w:val="center"/>
          </w:tcPr>
          <w:p>
            <w:pPr>
              <w:spacing w:before="0" w:after="0" w:line="252" w:lineRule="auto"/>
              <w:jc w:val="center"/>
            </w:pPr>
            <w:r/>
            <w:r>
              <w:rPr>
                <w:b w:val="0"/>
                <w:color w:val="000000"/>
                <w:sz w:val="21"/>
              </w:rPr>
              <w:t>47</w:t>
            </w:r>
          </w:p>
        </w:tc>
        <w:tc>
          <w:tcPr>
            <w:tcW w:type="dxa" w:w="2376"/>
            <w:tcMar>
              <w:top w:w="85" w:type="dxa"/>
              <w:start w:w="95" w:type="dxa"/>
              <w:bottom w:w="85" w:type="dxa"/>
              <w:end w:w="95" w:type="dxa"/>
            </w:tcMar>
            <w:shd w:fill="FFFFFF" w:val="clear"/>
            <w:vAlign w:val="center"/>
          </w:tcPr>
          <w:p>
            <w:pPr>
              <w:spacing w:before="0" w:after="0" w:line="252" w:lineRule="auto"/>
              <w:jc w:val="center"/>
            </w:pPr>
            <w:r/>
            <w:r>
              <w:rPr>
                <w:b w:val="0"/>
                <w:color w:val="000000"/>
                <w:sz w:val="21"/>
              </w:rPr>
              <w:t>23</w:t>
            </w:r>
          </w:p>
        </w:tc>
      </w:tr>
      <w:tr>
        <w:tc>
          <w:tcPr>
            <w:tcW w:type="dxa" w:w="2808"/>
            <w:tcMar>
              <w:top w:w="85" w:type="dxa"/>
              <w:start w:w="95" w:type="dxa"/>
              <w:bottom w:w="85" w:type="dxa"/>
              <w:end w:w="95" w:type="dxa"/>
            </w:tcMar>
            <w:shd w:fill="EAF0F6" w:val="clear"/>
            <w:vAlign w:val="center"/>
          </w:tcPr>
          <w:p>
            <w:pPr>
              <w:spacing w:before="0" w:after="0" w:line="252" w:lineRule="auto"/>
              <w:jc w:val="center"/>
            </w:pPr>
            <w:r/>
            <w:r>
              <w:rPr>
                <w:b/>
                <w:color w:val="000000"/>
                <w:sz w:val="21"/>
              </w:rPr>
              <w:t>占80格比例</w:t>
            </w:r>
          </w:p>
        </w:tc>
        <w:tc>
          <w:tcPr>
            <w:tcW w:type="dxa" w:w="2376"/>
            <w:tcMar>
              <w:top w:w="85" w:type="dxa"/>
              <w:start w:w="95" w:type="dxa"/>
              <w:bottom w:w="85" w:type="dxa"/>
              <w:end w:w="95" w:type="dxa"/>
            </w:tcMar>
            <w:shd w:fill="EAF0F6" w:val="clear"/>
            <w:vAlign w:val="center"/>
          </w:tcPr>
          <w:p>
            <w:pPr>
              <w:spacing w:before="0" w:after="0" w:line="252" w:lineRule="auto"/>
              <w:jc w:val="center"/>
            </w:pPr>
            <w:r/>
            <w:r>
              <w:rPr>
                <w:b w:val="0"/>
                <w:color w:val="000000"/>
                <w:sz w:val="21"/>
              </w:rPr>
              <w:t>0.00%</w:t>
            </w:r>
          </w:p>
        </w:tc>
        <w:tc>
          <w:tcPr>
            <w:tcW w:type="dxa" w:w="2376"/>
            <w:tcMar>
              <w:top w:w="85" w:type="dxa"/>
              <w:start w:w="95" w:type="dxa"/>
              <w:bottom w:w="85" w:type="dxa"/>
              <w:end w:w="95" w:type="dxa"/>
            </w:tcMar>
            <w:shd w:fill="EAF0F6" w:val="clear"/>
            <w:vAlign w:val="center"/>
          </w:tcPr>
          <w:p>
            <w:pPr>
              <w:spacing w:before="0" w:after="0" w:line="252" w:lineRule="auto"/>
              <w:jc w:val="center"/>
            </w:pPr>
            <w:r/>
            <w:r>
              <w:rPr>
                <w:b w:val="0"/>
                <w:color w:val="000000"/>
                <w:sz w:val="21"/>
              </w:rPr>
              <w:t>0.00%</w:t>
            </w:r>
          </w:p>
        </w:tc>
        <w:tc>
          <w:tcPr>
            <w:tcW w:type="dxa" w:w="2376"/>
            <w:tcMar>
              <w:top w:w="85" w:type="dxa"/>
              <w:start w:w="95" w:type="dxa"/>
              <w:bottom w:w="85" w:type="dxa"/>
              <w:end w:w="95" w:type="dxa"/>
            </w:tcMar>
            <w:shd w:fill="EAF0F6" w:val="clear"/>
            <w:vAlign w:val="center"/>
          </w:tcPr>
          <w:p>
            <w:pPr>
              <w:spacing w:before="0" w:after="0" w:line="252" w:lineRule="auto"/>
              <w:jc w:val="center"/>
            </w:pPr>
            <w:r/>
            <w:r>
              <w:rPr>
                <w:b w:val="0"/>
                <w:color w:val="000000"/>
                <w:sz w:val="21"/>
              </w:rPr>
              <w:t>12.50%</w:t>
            </w:r>
          </w:p>
        </w:tc>
        <w:tc>
          <w:tcPr>
            <w:tcW w:type="dxa" w:w="2376"/>
            <w:tcMar>
              <w:top w:w="85" w:type="dxa"/>
              <w:start w:w="95" w:type="dxa"/>
              <w:bottom w:w="85" w:type="dxa"/>
              <w:end w:w="95" w:type="dxa"/>
            </w:tcMar>
            <w:shd w:fill="EAF0F6" w:val="clear"/>
            <w:vAlign w:val="center"/>
          </w:tcPr>
          <w:p>
            <w:pPr>
              <w:spacing w:before="0" w:after="0" w:line="252" w:lineRule="auto"/>
              <w:jc w:val="center"/>
            </w:pPr>
            <w:r/>
            <w:r>
              <w:rPr>
                <w:b w:val="0"/>
                <w:color w:val="000000"/>
                <w:sz w:val="21"/>
              </w:rPr>
              <w:t>58.75%</w:t>
            </w:r>
          </w:p>
        </w:tc>
        <w:tc>
          <w:tcPr>
            <w:tcW w:type="dxa" w:w="2376"/>
            <w:tcMar>
              <w:top w:w="85" w:type="dxa"/>
              <w:start w:w="95" w:type="dxa"/>
              <w:bottom w:w="85" w:type="dxa"/>
              <w:end w:w="95" w:type="dxa"/>
            </w:tcMar>
            <w:shd w:fill="EAF0F6" w:val="clear"/>
            <w:vAlign w:val="center"/>
          </w:tcPr>
          <w:p>
            <w:pPr>
              <w:spacing w:before="0" w:after="0" w:line="252" w:lineRule="auto"/>
              <w:jc w:val="center"/>
            </w:pPr>
            <w:r/>
            <w:r>
              <w:rPr>
                <w:b w:val="0"/>
                <w:color w:val="000000"/>
                <w:sz w:val="21"/>
              </w:rPr>
              <w:t>28.75%</w:t>
            </w:r>
          </w:p>
        </w:tc>
      </w:tr>
    </w:tbl>
    <w:p>
      <w:pPr>
        <w:pStyle w:val="ListBullet"/>
        <w:ind w:left="403" w:hanging="216"/>
      </w:pPr>
      <w:r>
        <w:rPr>
          <w:rFonts w:ascii="Microsoft JhengHei" w:hAnsi="Microsoft JhengHei" w:eastAsia="Microsoft JhengHei"/>
          <w:b/>
          <w:sz w:val="21"/>
        </w:rPr>
        <w:t>學員個別平均數加總驗算</w:t>
      </w:r>
      <w:r>
        <w:rPr>
          <w:rFonts w:ascii="Microsoft JhengHei" w:hAnsi="Microsoft JhengHei" w:eastAsia="Microsoft JhengHei"/>
          <w:b w:val="0"/>
          <w:sz w:val="21"/>
        </w:rPr>
        <w:t>：</w:t>
      </w:r>
    </w:p>
    <w:p>
      <w:r>
        <w:rPr>
          <w:rFonts w:ascii="Microsoft JhengHei" w:hAnsi="Microsoft JhengHei" w:eastAsia="Microsoft JhengHei"/>
          <w:b w:val="0"/>
          <w:sz w:val="21"/>
        </w:rPr>
        <w:t>Σ X̄_j = 4.60 + 4.00 + 4.20 + 3.80 + 4.80 + 3.80 + 4.40 + 3.70 = 33.30</w:t>
      </w:r>
    </w:p>
    <w:p>
      <w:r>
        <w:rPr>
          <w:rFonts w:ascii="Microsoft JhengHei" w:hAnsi="Microsoft JhengHei" w:eastAsia="Microsoft JhengHei"/>
          <w:b w:val="0"/>
          <w:sz w:val="21"/>
        </w:rPr>
        <w:t>(33.30) / (8) = 4.1625 approx 4.16  分（兩種驗算完全一致）。</w:t>
      </w:r>
    </w:p>
    <w:p>
      <w:pPr>
        <w:pStyle w:val="Heading2"/>
      </w:pPr>
      <w:r>
        <w:rPr>
          <w:rFonts w:ascii="Microsoft JhengHei" w:hAnsi="Microsoft JhengHei" w:eastAsia="Microsoft JhengHei"/>
          <w:b w:val="0"/>
          <w:sz w:val="25"/>
        </w:rPr>
        <w:t>9.3 技能評量與成對前後測進步統計（Learning Assessment Results）</w:t>
      </w:r>
    </w:p>
    <w:p>
      <w:pPr>
        <w:pStyle w:val="Heading3"/>
      </w:pPr>
      <w:r>
        <w:rPr>
          <w:rFonts w:ascii="Microsoft JhengHei" w:hAnsi="Microsoft JhengHei" w:eastAsia="Microsoft JhengHei"/>
          <w:b w:val="0"/>
          <w:sz w:val="22"/>
        </w:rPr>
        <w:t>9.3.1 後測成績與合格率統計</w:t>
      </w:r>
    </w:p>
    <w:p>
      <w:pPr>
        <w:pStyle w:val="ListBullet"/>
        <w:ind w:left="403" w:hanging="216"/>
      </w:pPr>
      <w:r>
        <w:rPr>
          <w:rFonts w:ascii="Microsoft JhengHei" w:hAnsi="Microsoft JhengHei" w:eastAsia="Microsoft JhengHei"/>
          <w:b/>
          <w:sz w:val="21"/>
        </w:rPr>
        <w:t>後測應試人數</w:t>
      </w:r>
      <w:r>
        <w:rPr>
          <w:rFonts w:ascii="Microsoft JhengHei" w:hAnsi="Microsoft JhengHei" w:eastAsia="Microsoft JhengHei"/>
          <w:b w:val="0"/>
          <w:sz w:val="21"/>
        </w:rPr>
        <w:t>：8 人（P01–P08）。</w:t>
      </w:r>
    </w:p>
    <w:p>
      <w:pPr>
        <w:pStyle w:val="ListBullet"/>
        <w:ind w:left="403" w:hanging="216"/>
      </w:pPr>
      <w:r>
        <w:rPr>
          <w:rFonts w:ascii="Microsoft JhengHei" w:hAnsi="Microsoft JhengHei" w:eastAsia="Microsoft JhengHei"/>
          <w:b/>
          <w:sz w:val="21"/>
        </w:rPr>
        <w:t>後測及格標準</w:t>
      </w:r>
      <w:r>
        <w:rPr>
          <w:rFonts w:ascii="Microsoft JhengHei" w:hAnsi="Microsoft JhengHei" w:eastAsia="Microsoft JhengHei"/>
          <w:b w:val="0"/>
          <w:sz w:val="21"/>
        </w:rPr>
        <w:t>：總分  ≥  70 分。</w:t>
      </w:r>
    </w:p>
    <w:p>
      <w:pPr>
        <w:pStyle w:val="ListBullet"/>
        <w:ind w:left="403" w:hanging="216"/>
      </w:pPr>
      <w:r>
        <w:rPr>
          <w:rFonts w:ascii="Microsoft JhengHei" w:hAnsi="Microsoft JhengHei" w:eastAsia="Microsoft JhengHei"/>
          <w:b/>
          <w:sz w:val="21"/>
        </w:rPr>
        <w:t>後測及格人數</w:t>
      </w:r>
      <w:r>
        <w:rPr>
          <w:rFonts w:ascii="Microsoft JhengHei" w:hAnsi="Microsoft JhengHei" w:eastAsia="Microsoft JhengHei"/>
          <w:b w:val="0"/>
          <w:sz w:val="21"/>
        </w:rPr>
        <w:t>：</w:t>
      </w:r>
      <w:r>
        <w:rPr>
          <w:rFonts w:ascii="Microsoft JhengHei" w:hAnsi="Microsoft JhengHei" w:eastAsia="Microsoft JhengHei"/>
          <w:b/>
          <w:sz w:val="21"/>
        </w:rPr>
        <w:t>7 人</w:t>
      </w:r>
      <w:r>
        <w:rPr>
          <w:rFonts w:ascii="Microsoft JhengHei" w:hAnsi="Microsoft JhengHei" w:eastAsia="Microsoft JhengHei"/>
          <w:b w:val="0"/>
          <w:sz w:val="21"/>
        </w:rPr>
        <w:t>（P01: 100, P02: 90, P03: 90, P04: 80, P05: 100, P06: 70, P07: 100）。</w:t>
      </w:r>
    </w:p>
    <w:p>
      <w:pPr>
        <w:pStyle w:val="ListBullet"/>
        <w:ind w:left="403" w:hanging="216"/>
      </w:pPr>
      <w:r>
        <w:rPr>
          <w:rFonts w:ascii="Microsoft JhengHei" w:hAnsi="Microsoft JhengHei" w:eastAsia="Microsoft JhengHei"/>
          <w:b/>
          <w:sz w:val="21"/>
        </w:rPr>
        <w:t>後測不及格人數</w:t>
      </w:r>
      <w:r>
        <w:rPr>
          <w:rFonts w:ascii="Microsoft JhengHei" w:hAnsi="Microsoft JhengHei" w:eastAsia="Microsoft JhengHei"/>
          <w:b w:val="0"/>
          <w:sz w:val="21"/>
        </w:rPr>
        <w:t>：</w:t>
      </w:r>
      <w:r>
        <w:rPr>
          <w:rFonts w:ascii="Microsoft JhengHei" w:hAnsi="Microsoft JhengHei" w:eastAsia="Microsoft JhengHei"/>
          <w:b/>
          <w:sz w:val="21"/>
        </w:rPr>
        <w:t>1 人</w:t>
      </w:r>
      <w:r>
        <w:rPr>
          <w:rFonts w:ascii="Microsoft JhengHei" w:hAnsi="Microsoft JhengHei" w:eastAsia="Microsoft JhengHei"/>
          <w:b w:val="0"/>
          <w:sz w:val="21"/>
        </w:rPr>
        <w:t>（P08: 60 分）。</w:t>
      </w:r>
    </w:p>
    <w:p>
      <w:pPr>
        <w:pStyle w:val="ListBullet"/>
        <w:ind w:left="403" w:hanging="216"/>
      </w:pPr>
      <w:r>
        <w:rPr>
          <w:rFonts w:ascii="Microsoft JhengHei" w:hAnsi="Microsoft JhengHei" w:eastAsia="Microsoft JhengHei"/>
          <w:b/>
          <w:sz w:val="21"/>
        </w:rPr>
        <w:t>後測實作及格率（Pass Rate）</w:t>
      </w:r>
      <w:r>
        <w:rPr>
          <w:rFonts w:ascii="Microsoft JhengHei" w:hAnsi="Microsoft JhengHei" w:eastAsia="Microsoft JhengHei"/>
          <w:b w:val="0"/>
          <w:sz w:val="21"/>
        </w:rPr>
        <w:t>：</w:t>
      </w:r>
    </w:p>
    <w:p>
      <w:r>
        <w:rPr>
          <w:rFonts w:ascii="Microsoft JhengHei" w:hAnsi="Microsoft JhengHei" w:eastAsia="Microsoft JhengHei"/>
          <w:b w:val="0"/>
          <w:sz w:val="21"/>
        </w:rPr>
        <w:t>Pass Rate = (7) / (8)  ×  100% = 87.5%</w:t>
      </w:r>
    </w:p>
    <w:p>
      <w:pPr>
        <w:pStyle w:val="Heading3"/>
      </w:pPr>
      <w:r>
        <w:rPr>
          <w:rFonts w:ascii="Microsoft JhengHei" w:hAnsi="Microsoft JhengHei" w:eastAsia="Microsoft JhengHei"/>
          <w:b w:val="0"/>
          <w:sz w:val="22"/>
        </w:rPr>
        <w:t>9.3.2 成對樣本前後測差異分析（Paired Difference Analysis, N=8）</w:t>
      </w:r>
    </w:p>
    <w:p>
      <w:pPr>
        <w:pStyle w:val="ListBullet"/>
        <w:ind w:left="403" w:hanging="216"/>
      </w:pPr>
      <w:r>
        <w:rPr>
          <w:rFonts w:ascii="Microsoft JhengHei" w:hAnsi="Microsoft JhengHei" w:eastAsia="Microsoft JhengHei"/>
          <w:b/>
          <w:sz w:val="21"/>
        </w:rPr>
        <w:t>成對前測總分和</w:t>
      </w:r>
      <w:r>
        <w:rPr>
          <w:rFonts w:ascii="Microsoft JhengHei" w:hAnsi="Microsoft JhengHei" w:eastAsia="Microsoft JhengHei"/>
          <w:b w:val="0"/>
          <w:sz w:val="21"/>
        </w:rPr>
        <w:t>：50 + 40 + 40 + 30 + 60 + 30 + 40 + 20 = 310 分。</w:t>
      </w:r>
    </w:p>
    <w:p>
      <w:pPr>
        <w:pStyle w:val="ListBullet"/>
        <w:ind w:left="403" w:hanging="216"/>
      </w:pPr>
      <w:r>
        <w:rPr>
          <w:rFonts w:ascii="Microsoft JhengHei" w:hAnsi="Microsoft JhengHei" w:eastAsia="Microsoft JhengHei"/>
          <w:b/>
          <w:sz w:val="21"/>
        </w:rPr>
        <w:t>成對前測平均分數</w:t>
      </w:r>
      <w:r>
        <w:rPr>
          <w:rFonts w:ascii="Microsoft JhengHei" w:hAnsi="Microsoft JhengHei" w:eastAsia="Microsoft JhengHei"/>
          <w:b w:val="0"/>
          <w:sz w:val="21"/>
        </w:rPr>
        <w:t>：X̄_PRE = (310) / (8) = 38.75 分。</w:t>
      </w:r>
    </w:p>
    <w:p>
      <w:pPr>
        <w:pStyle w:val="ListBullet"/>
        <w:ind w:left="403" w:hanging="216"/>
      </w:pPr>
      <w:r>
        <w:rPr>
          <w:rFonts w:ascii="Microsoft JhengHei" w:hAnsi="Microsoft JhengHei" w:eastAsia="Microsoft JhengHei"/>
          <w:b/>
          <w:sz w:val="21"/>
        </w:rPr>
        <w:t>成對後測總分和</w:t>
      </w:r>
      <w:r>
        <w:rPr>
          <w:rFonts w:ascii="Microsoft JhengHei" w:hAnsi="Microsoft JhengHei" w:eastAsia="Microsoft JhengHei"/>
          <w:b w:val="0"/>
          <w:sz w:val="21"/>
        </w:rPr>
        <w:t>：100 + 90 + 90 + 80 + 100 + 70 + 100 + 60 = 690 分。</w:t>
      </w:r>
    </w:p>
    <w:p>
      <w:pPr>
        <w:pStyle w:val="ListBullet"/>
        <w:ind w:left="403" w:hanging="216"/>
      </w:pPr>
      <w:r>
        <w:rPr>
          <w:rFonts w:ascii="Microsoft JhengHei" w:hAnsi="Microsoft JhengHei" w:eastAsia="Microsoft JhengHei"/>
          <w:b/>
          <w:sz w:val="21"/>
        </w:rPr>
        <w:t>成對後測平均分數</w:t>
      </w:r>
      <w:r>
        <w:rPr>
          <w:rFonts w:ascii="Microsoft JhengHei" w:hAnsi="Microsoft JhengHei" w:eastAsia="Microsoft JhengHei"/>
          <w:b w:val="0"/>
          <w:sz w:val="21"/>
        </w:rPr>
        <w:t>：X̄_POST = (690) / (8) = 86.25 分。</w:t>
      </w:r>
    </w:p>
    <w:p>
      <w:pPr>
        <w:pStyle w:val="ListBullet"/>
        <w:ind w:left="403" w:hanging="216"/>
      </w:pPr>
      <w:r>
        <w:rPr>
          <w:rFonts w:ascii="Microsoft JhengHei" w:hAnsi="Microsoft JhengHei" w:eastAsia="Microsoft JhengHei"/>
          <w:b/>
          <w:sz w:val="21"/>
        </w:rPr>
        <w:t>成對總進步分和</w:t>
      </w:r>
      <w:r>
        <w:rPr>
          <w:rFonts w:ascii="Microsoft JhengHei" w:hAnsi="Microsoft JhengHei" w:eastAsia="Microsoft JhengHei"/>
          <w:b w:val="0"/>
          <w:sz w:val="21"/>
        </w:rPr>
        <w:t>：Σ Δ = 50 + 50 + 50 + 50 + 40 + 40 + 60 + 40 = 380 分。</w:t>
      </w:r>
    </w:p>
    <w:p>
      <w:pPr>
        <w:pStyle w:val="ListBullet"/>
        <w:ind w:left="403" w:hanging="216"/>
      </w:pPr>
      <w:r>
        <w:rPr>
          <w:rFonts w:ascii="Microsoft JhengHei" w:hAnsi="Microsoft JhengHei" w:eastAsia="Microsoft JhengHei"/>
          <w:b/>
          <w:sz w:val="21"/>
        </w:rPr>
        <w:t>成對平均進步幅度（Paired Mean Change）</w:t>
      </w:r>
      <w:r>
        <w:rPr>
          <w:rFonts w:ascii="Microsoft JhengHei" w:hAnsi="Microsoft JhengHei" w:eastAsia="Microsoft JhengHei"/>
          <w:b w:val="0"/>
          <w:sz w:val="21"/>
        </w:rPr>
        <w:t>：</w:t>
      </w:r>
    </w:p>
    <w:p>
      <w:r>
        <w:rPr>
          <w:rFonts w:ascii="Microsoft JhengHei" w:hAnsi="Microsoft JhengHei" w:eastAsia="Microsoft JhengHei"/>
          <w:b w:val="0"/>
          <w:sz w:val="21"/>
        </w:rPr>
        <w:t>Δ X̄_PAIRED = (380) / (8) = +47.50  分</w:t>
      </w:r>
    </w:p>
    <w:p>
      <w:r>
        <w:rPr>
          <w:rFonts w:ascii="Microsoft JhengHei" w:hAnsi="Microsoft JhengHei" w:eastAsia="Microsoft JhengHei"/>
          <w:b w:val="0"/>
          <w:sz w:val="21"/>
        </w:rPr>
        <w:t>（驗算差值：86.25 - 38.75 = +47.50 分，數值完美閉合）。</w:t>
      </w:r>
    </w:p>
    <w:p>
      <w:pPr>
        <w:pStyle w:val="Heading3"/>
      </w:pPr>
      <w:r>
        <w:rPr>
          <w:rFonts w:ascii="Microsoft JhengHei" w:hAnsi="Microsoft JhengHei" w:eastAsia="Microsoft JhengHei"/>
          <w:b w:val="0"/>
          <w:sz w:val="22"/>
        </w:rPr>
        <w:t>9.3.3 各項技能任務分項成長比對表（Per-Task Skill Growth）</w:t>
      </w:r>
    </w:p>
    <w:tbl>
      <w:tblPr>
        <w:tblW w:type="auto" w:w="0"/>
        <w:jc w:val="center"/>
        <w:tblLayout w:type="fixed"/>
        <w:tblLook w:firstColumn="1" w:firstRow="1" w:lastColumn="0" w:lastRow="0" w:noHBand="0" w:noVBand="1" w:val="04A0"/>
      </w:tblPr>
      <w:tblGrid>
        <w:gridCol w:w="2542"/>
        <w:gridCol w:w="2542"/>
        <w:gridCol w:w="2542"/>
        <w:gridCol w:w="2542"/>
        <w:gridCol w:w="2542"/>
        <w:gridCol w:w="2542"/>
      </w:tblGrid>
      <w:tr>
        <w:trPr>
          <w:cantSplit/>
          <w:tblHeader w:val="true"/>
        </w:trPr>
        <w:tc>
          <w:tcPr>
            <w:tcW w:type="dxa" w:w="1941"/>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任務代碼與名稱</w:t>
            </w:r>
          </w:p>
        </w:tc>
        <w:tc>
          <w:tcPr>
            <w:tcW w:type="dxa" w:w="3050"/>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前測平均得分 (X̄_PRE)</w:t>
            </w:r>
          </w:p>
        </w:tc>
        <w:tc>
          <w:tcPr>
            <w:tcW w:type="dxa" w:w="3050"/>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後測平均得分 (X̄_POST)</w:t>
            </w:r>
          </w:p>
        </w:tc>
        <w:tc>
          <w:tcPr>
            <w:tcW w:type="dxa" w:w="2218"/>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任務平均成長值 (Δ)</w:t>
            </w:r>
          </w:p>
        </w:tc>
        <w:tc>
          <w:tcPr>
            <w:tcW w:type="dxa" w:w="2218"/>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後測得分達滿分率 (20分比例)</w:t>
            </w:r>
          </w:p>
        </w:tc>
        <w:tc>
          <w:tcPr>
            <w:tcW w:type="dxa" w:w="2773"/>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技能熟練狀態解析</w:t>
            </w:r>
          </w:p>
        </w:tc>
      </w:tr>
      <w:tr>
        <w:trPr>
          <w:cantSplit/>
        </w:trPr>
        <w:tc>
          <w:tcPr>
            <w:tcW w:type="dxa" w:w="1941"/>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T01. 服務接待同理溝通</w:t>
            </w:r>
          </w:p>
        </w:tc>
        <w:tc>
          <w:tcPr>
            <w:tcW w:type="dxa" w:w="305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60  ÷  8 = 7.50</w:t>
            </w:r>
          </w:p>
        </w:tc>
        <w:tc>
          <w:tcPr>
            <w:tcW w:type="dxa" w:w="305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150  ÷  8 = 18.75</w:t>
            </w:r>
          </w:p>
        </w:tc>
        <w:tc>
          <w:tcPr>
            <w:tcW w:type="dxa" w:w="2218"/>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+11.25</w:t>
            </w:r>
          </w:p>
        </w:tc>
        <w:tc>
          <w:tcPr>
            <w:tcW w:type="dxa" w:w="2218"/>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87.5% (7/8)</w:t>
            </w:r>
          </w:p>
        </w:tc>
        <w:tc>
          <w:tcPr>
            <w:tcW w:type="dxa" w:w="277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掌握極佳，溝通儀態大幅提升。</w:t>
            </w:r>
          </w:p>
        </w:tc>
      </w:tr>
      <w:tr>
        <w:trPr>
          <w:cantSplit/>
        </w:trPr>
        <w:tc>
          <w:tcPr>
            <w:tcW w:type="dxa" w:w="1941"/>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T02. 個案隱私保護規範</w:t>
            </w:r>
          </w:p>
        </w:tc>
        <w:tc>
          <w:tcPr>
            <w:tcW w:type="dxa" w:w="305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60  ÷  8 = 7.50</w:t>
            </w:r>
          </w:p>
        </w:tc>
        <w:tc>
          <w:tcPr>
            <w:tcW w:type="dxa" w:w="305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150  ÷  8 = 18.75</w:t>
            </w:r>
          </w:p>
        </w:tc>
        <w:tc>
          <w:tcPr>
            <w:tcW w:type="dxa" w:w="2218"/>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+11.25</w:t>
            </w:r>
          </w:p>
        </w:tc>
        <w:tc>
          <w:tcPr>
            <w:tcW w:type="dxa" w:w="2218"/>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87.5% (7/8)</w:t>
            </w:r>
          </w:p>
        </w:tc>
        <w:tc>
          <w:tcPr>
            <w:tcW w:type="dxa" w:w="277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保密觀念建立完整，表單覆蓋落實。</w:t>
            </w:r>
          </w:p>
        </w:tc>
      </w:tr>
      <w:tr>
        <w:trPr>
          <w:cantSplit/>
        </w:trPr>
        <w:tc>
          <w:tcPr>
            <w:tcW w:type="dxa" w:w="1941"/>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T03. 輪椅移位安全操作</w:t>
            </w:r>
          </w:p>
        </w:tc>
        <w:tc>
          <w:tcPr>
            <w:tcW w:type="dxa" w:w="305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40  ÷  8 = 5.00</w:t>
            </w:r>
          </w:p>
        </w:tc>
        <w:tc>
          <w:tcPr>
            <w:tcW w:type="dxa" w:w="305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110  ÷  8 = 13.75</w:t>
            </w:r>
          </w:p>
        </w:tc>
        <w:tc>
          <w:tcPr>
            <w:tcW w:type="dxa" w:w="2218"/>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+8.75</w:t>
            </w:r>
          </w:p>
        </w:tc>
        <w:tc>
          <w:tcPr>
            <w:tcW w:type="dxa" w:w="2218"/>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37.5% (3/8)</w:t>
            </w:r>
          </w:p>
        </w:tc>
        <w:tc>
          <w:tcPr>
            <w:tcW w:type="dxa" w:w="277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熟練度最低！多數停留在 10 分（次要瑕疵）。</w:t>
            </w:r>
          </w:p>
        </w:tc>
      </w:tr>
      <w:tr>
        <w:trPr>
          <w:cantSplit/>
        </w:trPr>
        <w:tc>
          <w:tcPr>
            <w:tcW w:type="dxa" w:w="1941"/>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T04. 意外跌倒應變處置</w:t>
            </w:r>
          </w:p>
        </w:tc>
        <w:tc>
          <w:tcPr>
            <w:tcW w:type="dxa" w:w="305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70  ÷  8 = 8.75</w:t>
            </w:r>
          </w:p>
        </w:tc>
        <w:tc>
          <w:tcPr>
            <w:tcW w:type="dxa" w:w="305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130  ÷  8 = 16.25</w:t>
            </w:r>
          </w:p>
        </w:tc>
        <w:tc>
          <w:tcPr>
            <w:tcW w:type="dxa" w:w="2218"/>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+7.50</w:t>
            </w:r>
          </w:p>
        </w:tc>
        <w:tc>
          <w:tcPr>
            <w:tcW w:type="dxa" w:w="2218"/>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62.5% (5/8)</w:t>
            </w:r>
          </w:p>
        </w:tc>
        <w:tc>
          <w:tcPr>
            <w:tcW w:type="dxa" w:w="277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通報流程清楚，部分學員記錄稍延遲。</w:t>
            </w:r>
          </w:p>
        </w:tc>
      </w:tr>
      <w:tr>
        <w:trPr>
          <w:cantSplit/>
        </w:trPr>
        <w:tc>
          <w:tcPr>
            <w:tcW w:type="dxa" w:w="1941"/>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T05. 關懷物資清點核對</w:t>
            </w:r>
          </w:p>
        </w:tc>
        <w:tc>
          <w:tcPr>
            <w:tcW w:type="dxa" w:w="305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80  ÷  8 = 10.00</w:t>
            </w:r>
          </w:p>
        </w:tc>
        <w:tc>
          <w:tcPr>
            <w:tcW w:type="dxa" w:w="305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150  ÷  8 = 18.75</w:t>
            </w:r>
          </w:p>
        </w:tc>
        <w:tc>
          <w:tcPr>
            <w:tcW w:type="dxa" w:w="2218"/>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+8.75</w:t>
            </w:r>
          </w:p>
        </w:tc>
        <w:tc>
          <w:tcPr>
            <w:tcW w:type="dxa" w:w="2218"/>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87.5% (7/8)</w:t>
            </w:r>
          </w:p>
        </w:tc>
        <w:tc>
          <w:tcPr>
            <w:tcW w:type="dxa" w:w="277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盤點精準度良好，單據簽收完備。</w:t>
            </w:r>
          </w:p>
        </w:tc>
      </w:tr>
      <w:tr>
        <w:trPr>
          <w:cantSplit/>
        </w:trPr>
        <w:tc>
          <w:tcPr>
            <w:tcW w:type="dxa" w:w="1941"/>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總體平均（滿分 100）</w:t>
            </w:r>
          </w:p>
        </w:tc>
        <w:tc>
          <w:tcPr>
            <w:tcW w:type="dxa" w:w="305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38.75</w:t>
            </w:r>
          </w:p>
        </w:tc>
        <w:tc>
          <w:tcPr>
            <w:tcW w:type="dxa" w:w="305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86.25</w:t>
            </w:r>
          </w:p>
        </w:tc>
        <w:tc>
          <w:tcPr>
            <w:tcW w:type="dxa" w:w="2218"/>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+47.50</w:t>
            </w:r>
          </w:p>
        </w:tc>
        <w:tc>
          <w:tcPr>
            <w:tcW w:type="dxa" w:w="2218"/>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w:t>
            </w:r>
          </w:p>
        </w:tc>
        <w:tc>
          <w:tcPr>
            <w:tcW w:type="dxa" w:w="277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T03 為全體學員最顯著之技能瓶頸。</w:t>
            </w:r>
          </w:p>
        </w:tc>
      </w:tr>
    </w:tbl>
    <w:p>
      <w:pPr>
        <w:spacing w:after="20"/>
      </w:pPr>
    </w:p>
    <w:p>
      <w:pPr>
        <w:pStyle w:val="Heading1"/>
      </w:pPr>
      <w:r>
        <w:rPr>
          <w:rFonts w:ascii="Microsoft JhengHei" w:hAnsi="Microsoft JhengHei" w:eastAsia="Microsoft JhengHei"/>
          <w:b w:val="0"/>
          <w:sz w:val="30"/>
        </w:rPr>
        <w:t>10. 質性反思心得摘要與多層次互證詮釋（Qualitative Synthesis &amp; Limitations）</w:t>
      </w:r>
    </w:p>
    <w:p>
      <w:pPr>
        <w:pStyle w:val="Heading2"/>
      </w:pPr>
      <w:r>
        <w:rPr>
          <w:rFonts w:ascii="Microsoft JhengHei" w:hAnsi="Microsoft JhengHei" w:eastAsia="Microsoft JhengHei"/>
          <w:b w:val="0"/>
          <w:sz w:val="25"/>
        </w:rPr>
        <w:t>10.1 學員代表性質性反思心得摘錄（去識別化紀錄）</w:t>
      </w:r>
    </w:p>
    <w:p>
      <w:r>
        <w:rPr>
          <w:rFonts w:ascii="Microsoft JhengHei" w:hAnsi="Microsoft JhengHei" w:eastAsia="Microsoft JhengHei"/>
          <w:b w:val="0"/>
          <w:sz w:val="21"/>
        </w:rPr>
        <w:t>以下三段均為本示範案例撰寫的 SAMPLE / SYNTHETIC 文字，不是受訪者原話，也不代表協會已辦理課程或完成質性編碼：</w:t>
      </w:r>
    </w:p>
    <w:p>
      <w:pPr>
        <w:spacing w:after="100"/>
        <w:ind w:left="288" w:right="216"/>
        <w:shd w:fill="EAF2F8"/>
      </w:pPr>
      <w:r>
        <w:rPr>
          <w:rFonts w:ascii="Microsoft JhengHei" w:hAnsi="Microsoft JhengHei" w:eastAsia="Microsoft JhengHei"/>
          <w:b/>
          <w:sz w:val="21"/>
        </w:rPr>
        <w:t>學員 P02 心得摘錄（反思編碼：REF-0121-P02）</w:t>
      </w:r>
      <w:r>
        <w:rPr>
          <w:rFonts w:ascii="Microsoft JhengHei" w:hAnsi="Microsoft JhengHei" w:eastAsia="Microsoft JhengHei"/>
          <w:b w:val="0"/>
          <w:sz w:val="21"/>
        </w:rPr>
        <w:t>：</w:t>
      </w:r>
    </w:p>
    <w:p>
      <w:pPr>
        <w:spacing w:after="100"/>
        <w:ind w:left="288" w:right="216"/>
        <w:shd w:fill="EAF2F8"/>
      </w:pPr>
      <w:r>
        <w:rPr>
          <w:rFonts w:ascii="Microsoft JhengHei" w:hAnsi="Microsoft JhengHei" w:eastAsia="Microsoft JhengHei"/>
          <w:b w:val="0"/>
          <w:sz w:val="21"/>
        </w:rPr>
        <w:t>「今天講師示範同理心溝通的案例非常生動，讓我理解到志工不是只有熱心，更要學會傾聽對方的委屈。但是在下午輪椅移位演練時，我覺得時間太緊迫了。因為同組同學都很緊張，我們輪流練習的次數只有一次就直接上場考試，我在操作固定煞車和翻踏板時手忙腳亂，很擔心以後在機構服務時會讓長輩摔倒。希望下次能延長操作練習時間，並提供圖解小卡讓我們對照。」</w:t>
      </w:r>
    </w:p>
    <w:p>
      <w:pPr>
        <w:spacing w:after="100"/>
        <w:ind w:left="288" w:right="216"/>
        <w:shd w:fill="EAF2F8"/>
      </w:pPr>
      <w:r>
        <w:rPr>
          <w:rFonts w:ascii="Microsoft JhengHei" w:hAnsi="Microsoft JhengHei" w:eastAsia="Microsoft JhengHei"/>
          <w:b/>
          <w:sz w:val="21"/>
        </w:rPr>
        <w:t>學員 P04 心得摘錄（反思編碼：REF-0121-P04）</w:t>
      </w:r>
      <w:r>
        <w:rPr>
          <w:rFonts w:ascii="Microsoft JhengHei" w:hAnsi="Microsoft JhengHei" w:eastAsia="Microsoft JhengHei"/>
          <w:b w:val="0"/>
          <w:sz w:val="21"/>
        </w:rPr>
        <w:t>：</w:t>
      </w:r>
    </w:p>
    <w:p>
      <w:pPr>
        <w:spacing w:after="100"/>
        <w:ind w:left="288" w:right="216"/>
        <w:shd w:fill="EAF2F8"/>
      </w:pPr>
      <w:r>
        <w:rPr>
          <w:rFonts w:ascii="Microsoft JhengHei" w:hAnsi="Microsoft JhengHei" w:eastAsia="Microsoft JhengHei"/>
          <w:b w:val="0"/>
          <w:sz w:val="21"/>
        </w:rPr>
        <w:t>「講義中關於資料保密的示範很受用，以前我們常不自覺在走廊討論個案名字，現在知道這嚴重侵犯隱私。不過在意外通報模擬時，雖然知道通報電話，但面對長輩突然坐在地上時還是愣了幾秒。我覺得單純看投影片不夠，如果能增加像真實意外現場那樣的動態情境模擬演練，遇到緊急事件時才不會腦袋一片空白。」</w:t>
      </w:r>
    </w:p>
    <w:p>
      <w:pPr>
        <w:spacing w:after="100"/>
        <w:ind w:left="288" w:right="216"/>
        <w:shd w:fill="EAF2F8"/>
      </w:pPr>
      <w:r>
        <w:rPr>
          <w:rFonts w:ascii="Microsoft JhengHei" w:hAnsi="Microsoft JhengHei" w:eastAsia="Microsoft JhengHei"/>
          <w:b/>
          <w:sz w:val="21"/>
        </w:rPr>
        <w:t>學員 P07 心得摘錄（反思編碼：REF-0121-P07）</w:t>
      </w:r>
      <w:r>
        <w:rPr>
          <w:rFonts w:ascii="Microsoft JhengHei" w:hAnsi="Microsoft JhengHei" w:eastAsia="Microsoft JhengHei"/>
          <w:b w:val="0"/>
          <w:sz w:val="21"/>
        </w:rPr>
        <w:t>：</w:t>
      </w:r>
    </w:p>
    <w:p>
      <w:pPr>
        <w:spacing w:after="100"/>
        <w:ind w:left="288" w:right="216"/>
        <w:shd w:fill="EAF2F8"/>
      </w:pPr>
      <w:r>
        <w:rPr>
          <w:rFonts w:ascii="Microsoft JhengHei" w:hAnsi="Microsoft JhengHei" w:eastAsia="Microsoft JhengHei"/>
          <w:b w:val="0"/>
          <w:sz w:val="21"/>
        </w:rPr>
        <w:t>我覺得物資清點流程容易記憶；練習後測時，我更能依步驟完成清點與核對。下次希望增加後續服務情境練習，讓我把物資清點及核對流程用得更熟。</w:t>
      </w:r>
    </w:p>
    <w:p>
      <w:pPr>
        <w:pStyle w:val="Heading2"/>
      </w:pPr>
      <w:r>
        <w:rPr>
          <w:rFonts w:ascii="Microsoft JhengHei" w:hAnsi="Microsoft JhengHei" w:eastAsia="Microsoft JhengHei"/>
          <w:b w:val="0"/>
          <w:sz w:val="25"/>
        </w:rPr>
        <w:t>10.2 滿意度（反應層）與學習評量（學習層）交叉驗證解析</w:t>
      </w:r>
    </w:p>
    <w:p>
      <w:r>
        <w:rPr>
          <w:rFonts w:ascii="Microsoft JhengHei" w:hAnsi="Microsoft JhengHei" w:eastAsia="Microsoft JhengHei"/>
          <w:b w:val="0"/>
          <w:sz w:val="21"/>
        </w:rPr>
        <w:t>本示範將反應層、學習層與虛構反思並列，展示可檢驗的分析方式。即使三者方向一致，也不能證明因果或真實課程成效：</w:t>
      </w:r>
    </w:p>
    <w:tbl>
      <w:tblPr>
        <w:tblW w:type="auto" w:w="0"/>
        <w:jc w:val="center"/>
        <w:tblLayout w:type="fixed"/>
        <w:tblLook w:firstColumn="1" w:firstRow="1" w:lastColumn="0" w:lastRow="0" w:noHBand="0" w:noVBand="1" w:val="04A0"/>
      </w:tblPr>
      <w:tblGrid>
        <w:gridCol w:w="3812"/>
        <w:gridCol w:w="3812"/>
        <w:gridCol w:w="3812"/>
        <w:gridCol w:w="3812"/>
      </w:tblGrid>
      <w:tr>
        <w:trPr>
          <w:cantSplit/>
          <w:tblHeader w:val="true"/>
        </w:trPr>
        <w:tc>
          <w:tcPr>
            <w:tcW w:type="dxa" w:w="2243"/>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合成觀察</w:t>
            </w:r>
          </w:p>
        </w:tc>
        <w:tc>
          <w:tcPr>
            <w:tcW w:type="dxa" w:w="4934"/>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合成資料呈現</w:t>
            </w:r>
          </w:p>
        </w:tc>
        <w:tc>
          <w:tcPr>
            <w:tcW w:type="dxa" w:w="4485"/>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可支持的解讀</w:t>
            </w:r>
          </w:p>
        </w:tc>
        <w:tc>
          <w:tcPr>
            <w:tcW w:type="dxa" w:w="3588"/>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不可支持的解讀</w:t>
            </w:r>
          </w:p>
        </w:tc>
      </w:tr>
      <w:tr>
        <w:trPr>
          <w:cantSplit/>
        </w:trPr>
        <w:tc>
          <w:tcPr>
            <w:tcW w:type="dxa" w:w="224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練習時間回饋</w:t>
            </w:r>
          </w:p>
        </w:tc>
        <w:tc>
          <w:tcPr>
            <w:tcW w:type="dxa" w:w="4934"/>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Q05 平均 3.44；9 個有效回答中 4 個為 4–5 分</w:t>
            </w:r>
          </w:p>
        </w:tc>
        <w:tc>
          <w:tcPr>
            <w:tcW w:type="dxa" w:w="448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本例示範一個可追問的低分題項</w:t>
            </w:r>
          </w:p>
        </w:tc>
        <w:tc>
          <w:tcPr>
            <w:tcW w:type="dxa" w:w="3588"/>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不是協會實際警戒線或真實學員抱怨</w:t>
            </w:r>
          </w:p>
        </w:tc>
      </w:tr>
      <w:tr>
        <w:trPr>
          <w:cantSplit/>
        </w:trPr>
        <w:tc>
          <w:tcPr>
            <w:tcW w:type="dxa" w:w="224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輪椅移位表現</w:t>
            </w:r>
          </w:p>
        </w:tc>
        <w:tc>
          <w:tcPr>
            <w:tcW w:type="dxa" w:w="4934"/>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T03 後測均分 13.75／20；8 人中 3 人得 20 分</w:t>
            </w:r>
          </w:p>
        </w:tc>
        <w:tc>
          <w:tcPr>
            <w:tcW w:type="dxa" w:w="448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合成評量顯示仍有未滿分的操作空間</w:t>
            </w:r>
          </w:p>
        </w:tc>
        <w:tc>
          <w:tcPr>
            <w:tcW w:type="dxa" w:w="3588"/>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不能證明練習不足造成分數結果</w:t>
            </w:r>
          </w:p>
        </w:tc>
      </w:tr>
      <w:tr>
        <w:trPr>
          <w:cantSplit/>
        </w:trPr>
        <w:tc>
          <w:tcPr>
            <w:tcW w:type="dxa" w:w="224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合成反思</w:t>
            </w:r>
          </w:p>
        </w:tc>
        <w:tc>
          <w:tcPr>
            <w:tcW w:type="dxa" w:w="4934"/>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P02 文字提到練習次數和操作時間</w:t>
            </w:r>
          </w:p>
        </w:tc>
        <w:tc>
          <w:tcPr>
            <w:tcW w:type="dxa" w:w="448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可作改善假設的例示材料</w:t>
            </w:r>
          </w:p>
        </w:tc>
        <w:tc>
          <w:tcPr>
            <w:tcW w:type="dxa" w:w="3588"/>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不是受訪者原話、訪談紀錄或因果證據</w:t>
            </w:r>
          </w:p>
        </w:tc>
      </w:tr>
      <w:tr>
        <w:trPr>
          <w:cantSplit/>
        </w:trPr>
        <w:tc>
          <w:tcPr>
            <w:tcW w:type="dxa" w:w="224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綜合判讀</w:t>
            </w:r>
          </w:p>
        </w:tc>
        <w:tc>
          <w:tcPr>
            <w:tcW w:type="dxa" w:w="4934"/>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三項合成內容方向相近</w:t>
            </w:r>
          </w:p>
        </w:tc>
        <w:tc>
          <w:tcPr>
            <w:tcW w:type="dxa" w:w="448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可提出增加練習後追蹤 Q05、T03 的待驗證方案</w:t>
            </w:r>
          </w:p>
        </w:tc>
        <w:tc>
          <w:tcPr>
            <w:tcW w:type="dxa" w:w="3588"/>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不得宣稱因果、長期遷移或組織影響</w:t>
            </w:r>
          </w:p>
        </w:tc>
      </w:tr>
    </w:tbl>
    <w:p>
      <w:pPr>
        <w:spacing w:after="20"/>
      </w:pPr>
    </w:p>
    <w:p>
      <w:pPr>
        <w:ind w:left="403" w:hanging="317"/>
      </w:pPr>
      <w:r>
        <w:rPr>
          <w:rFonts w:ascii="Microsoft JhengHei" w:hAnsi="Microsoft JhengHei" w:eastAsia="Microsoft JhengHei"/>
          <w:b w:val="0"/>
          <w:sz w:val="21"/>
        </w:rPr>
        <w:t xml:space="preserve">1. </w:t>
      </w:r>
      <w:r>
        <w:rPr>
          <w:rFonts w:ascii="Microsoft JhengHei" w:hAnsi="Microsoft JhengHei" w:eastAsia="Microsoft JhengHei"/>
          <w:b/>
          <w:sz w:val="21"/>
        </w:rPr>
        <w:t>示範案例內的方向一致性</w:t>
      </w:r>
      <w:r>
        <w:rPr>
          <w:rFonts w:ascii="Microsoft JhengHei" w:hAnsi="Microsoft JhengHei" w:eastAsia="Microsoft JhengHei"/>
          <w:b w:val="0"/>
          <w:sz w:val="21"/>
        </w:rPr>
        <w:t>：</w:t>
      </w:r>
    </w:p>
    <w:p>
      <w:r>
        <w:rPr>
          <w:rFonts w:ascii="Microsoft JhengHei" w:hAnsi="Microsoft JhengHei" w:eastAsia="Microsoft JhengHei"/>
          <w:b w:val="0"/>
          <w:sz w:val="21"/>
        </w:rPr>
        <w:t>學員滿意度評分最低之題項為 Q05（實作演練時間充足度，3.44 分），而技能評量表現最差、滿分率最低之項目亦恰為 T03（輪椅移位操作，後測僅 13.75 分，滿分率 37.5%）。質性心得 P02 亦具體陳述「操作時間緊迫、缺乏二次演練機會」。三類合成資料呈現相同方向，可形成「增加練習後觀察 Q05、T03」的改善假設；本例無法確認練習不足造成技能分數較低。</w:t>
      </w:r>
    </w:p>
    <w:p>
      <w:pPr>
        <w:ind w:left="403" w:hanging="317"/>
      </w:pPr>
      <w:r>
        <w:rPr>
          <w:rFonts w:ascii="Microsoft JhengHei" w:hAnsi="Microsoft JhengHei" w:eastAsia="Microsoft JhengHei"/>
          <w:b w:val="0"/>
          <w:sz w:val="21"/>
        </w:rPr>
        <w:t xml:space="preserve">2. </w:t>
      </w:r>
      <w:r>
        <w:rPr>
          <w:rFonts w:ascii="Microsoft JhengHei" w:hAnsi="Microsoft JhengHei" w:eastAsia="Microsoft JhengHei"/>
          <w:b/>
          <w:sz w:val="21"/>
        </w:rPr>
        <w:t>教材實用性之認知落差</w:t>
      </w:r>
      <w:r>
        <w:rPr>
          <w:rFonts w:ascii="Microsoft JhengHei" w:hAnsi="Microsoft JhengHei" w:eastAsia="Microsoft JhengHei"/>
          <w:b w:val="0"/>
          <w:sz w:val="21"/>
        </w:rPr>
        <w:t>：</w:t>
      </w:r>
    </w:p>
    <w:p>
      <w:r>
        <w:rPr>
          <w:rFonts w:ascii="Microsoft JhengHei" w:hAnsi="Microsoft JhengHei" w:eastAsia="Microsoft JhengHei"/>
          <w:b w:val="0"/>
          <w:sz w:val="21"/>
        </w:rPr>
        <w:t>滿意度 Q04（教材與圖卡實用性）在本合成資料中為 3.78 分，正向率 66.7%。P02 的 SAMPLE 反思提出口袋圖卡，僅可作為教材可用性與步驟圖示的改善假設；P04 提出的是意外通報動態演練需求，屬另一項教學方法主題，不作為 Q04 教材缺漏的佐證。以上皆非真實學員意見、因果證據或協會決議。</w:t>
      </w:r>
    </w:p>
    <w:p>
      <w:pPr>
        <w:pStyle w:val="Heading2"/>
      </w:pPr>
      <w:r>
        <w:rPr>
          <w:rFonts w:ascii="Microsoft JhengHei" w:hAnsi="Microsoft JhengHei" w:eastAsia="Microsoft JhengHei"/>
          <w:b w:val="0"/>
          <w:sz w:val="25"/>
        </w:rPr>
        <w:t>10.3 評估限制與歸因邊界防護宣告</w:t>
      </w:r>
    </w:p>
    <w:p>
      <w:r>
        <w:rPr>
          <w:rFonts w:ascii="Microsoft JhengHei" w:hAnsi="Microsoft JhengHei" w:eastAsia="Microsoft JhengHei"/>
          <w:b w:val="0"/>
          <w:sz w:val="21"/>
        </w:rPr>
        <w:t>本示範報告，嚴格遵守統計學理與柯氏評估之界限，在此鄭重宣告以下分析限制：</w:t>
      </w:r>
    </w:p>
    <w:p>
      <w:pPr>
        <w:ind w:left="403" w:hanging="317"/>
      </w:pPr>
      <w:r>
        <w:rPr>
          <w:rFonts w:ascii="Microsoft JhengHei" w:hAnsi="Microsoft JhengHei" w:eastAsia="Microsoft JhengHei"/>
          <w:b w:val="0"/>
          <w:sz w:val="21"/>
        </w:rPr>
        <w:t xml:space="preserve">1. </w:t>
      </w:r>
      <w:r>
        <w:rPr>
          <w:rFonts w:ascii="Microsoft JhengHei" w:hAnsi="Microsoft JhengHei" w:eastAsia="Microsoft JhengHei"/>
          <w:b/>
          <w:sz w:val="21"/>
        </w:rPr>
        <w:t>小樣本代表性限制（Small-Sample Constraint）</w:t>
      </w:r>
      <w:r>
        <w:rPr>
          <w:rFonts w:ascii="Microsoft JhengHei" w:hAnsi="Microsoft JhengHei" w:eastAsia="Microsoft JhengHei"/>
          <w:b w:val="0"/>
          <w:sz w:val="21"/>
        </w:rPr>
        <w:t>：</w:t>
      </w:r>
    </w:p>
    <w:p>
      <w:r>
        <w:rPr>
          <w:rFonts w:ascii="Microsoft JhengHei" w:hAnsi="Microsoft JhengHei" w:eastAsia="Microsoft JhengHei"/>
          <w:b w:val="0"/>
          <w:sz w:val="21"/>
        </w:rPr>
        <w:t>本合成例的有效分析樣本僅 8–9 名，數值只描述此示範案例，不代表協會全體志工。N 小本身不構成禁止執行 t 檢定或迴歸的絕對規則；但本例沒有可核驗的抽樣設計、母體假設與檢定條件，因此不執行推論檢定，也不宣稱統計顯著性或母體效果。</w:t>
      </w:r>
    </w:p>
    <w:p>
      <w:pPr>
        <w:ind w:left="403" w:hanging="317"/>
      </w:pPr>
      <w:r>
        <w:rPr>
          <w:rFonts w:ascii="Microsoft JhengHei" w:hAnsi="Microsoft JhengHei" w:eastAsia="Microsoft JhengHei"/>
          <w:b w:val="0"/>
          <w:sz w:val="21"/>
        </w:rPr>
        <w:t xml:space="preserve">2. </w:t>
      </w:r>
      <w:r>
        <w:rPr>
          <w:rFonts w:ascii="Microsoft JhengHei" w:hAnsi="Microsoft JhengHei" w:eastAsia="Microsoft JhengHei"/>
          <w:b/>
          <w:sz w:val="21"/>
        </w:rPr>
        <w:t>遺漏值與無回覆偏差宣告（Missingness &amp; Attrition Bias）</w:t>
      </w:r>
      <w:r>
        <w:rPr>
          <w:rFonts w:ascii="Microsoft JhengHei" w:hAnsi="Microsoft JhengHei" w:eastAsia="Microsoft JhengHei"/>
          <w:b w:val="0"/>
          <w:sz w:val="21"/>
        </w:rPr>
        <w:t>：</w:t>
      </w:r>
    </w:p>
    <w:p>
      <w:r>
        <w:rPr>
          <w:rFonts w:ascii="Microsoft JhengHei" w:hAnsi="Microsoft JhengHei" w:eastAsia="Microsoft JhengHei"/>
          <w:b w:val="0"/>
          <w:sz w:val="21"/>
        </w:rPr>
        <w:t>本合成示例列有 1 個代碼未回覆（P10）及 1 位學員部分遺漏（P09），未回覆比例為 10.0%；若以未回覆加部分填答作為不完整問卷，比例為 20.0%。雖然本報告透過嚴密的分母隔離處理避免數值扭曲，但仍不能排除未填答者可能具備更高不滿意度之「無回覆偏差（Non-response Bias）」。</w:t>
      </w:r>
    </w:p>
    <w:p>
      <w:pPr>
        <w:ind w:left="403" w:hanging="317"/>
      </w:pPr>
      <w:r>
        <w:rPr>
          <w:rFonts w:ascii="Microsoft JhengHei" w:hAnsi="Microsoft JhengHei" w:eastAsia="Microsoft JhengHei"/>
          <w:b w:val="0"/>
          <w:sz w:val="21"/>
        </w:rPr>
        <w:t xml:space="preserve">3. </w:t>
      </w:r>
      <w:r>
        <w:rPr>
          <w:rFonts w:ascii="Microsoft JhengHei" w:hAnsi="Microsoft JhengHei" w:eastAsia="Microsoft JhengHei"/>
          <w:b/>
          <w:sz w:val="21"/>
        </w:rPr>
        <w:t>滿意度與長遠績效之非因果性（Non-causality &amp; No Level 3/4 Claims）</w:t>
      </w:r>
      <w:r>
        <w:rPr>
          <w:rFonts w:ascii="Microsoft JhengHei" w:hAnsi="Microsoft JhengHei" w:eastAsia="Microsoft JhengHei"/>
          <w:b w:val="0"/>
          <w:sz w:val="21"/>
        </w:rPr>
        <w:t>：</w:t>
      </w:r>
    </w:p>
    <w:p>
      <w:r>
        <w:rPr>
          <w:rFonts w:ascii="Microsoft JhengHei" w:hAnsi="Microsoft JhengHei" w:eastAsia="Microsoft JhengHei"/>
          <w:b w:val="0"/>
          <w:sz w:val="21"/>
        </w:rPr>
        <w:t>「滿意度高」與「隨堂測驗分數提升」僅代表學員在封閉式教學環境下的短期記憶與操作表現。</w:t>
      </w:r>
      <w:r>
        <w:rPr>
          <w:rFonts w:ascii="Microsoft JhengHei" w:hAnsi="Microsoft JhengHei" w:eastAsia="Microsoft JhengHei"/>
          <w:b/>
          <w:sz w:val="21"/>
        </w:rPr>
        <w:t>嚴禁依此斷言學員必然能在未來服務現場展現長期的行為改變（Level 3 行為層次），更不得宣稱此培訓已達成降低社區失能率或提升協會服務聲譽等組織層次績效（Level 4 成果層次）</w:t>
      </w:r>
      <w:r>
        <w:rPr>
          <w:rFonts w:ascii="Microsoft JhengHei" w:hAnsi="Microsoft JhengHei" w:eastAsia="Microsoft JhengHei"/>
          <w:b w:val="0"/>
          <w:sz w:val="21"/>
        </w:rPr>
        <w:t>。組織層面影響必須由 0122 之後續長期追蹤機制另行驗證。</w:t>
      </w:r>
    </w:p>
    <w:p>
      <w:pPr>
        <w:pStyle w:val="Heading1"/>
      </w:pPr>
      <w:r>
        <w:rPr>
          <w:rFonts w:ascii="Microsoft JhengHei" w:hAnsi="Microsoft JhengHei" w:eastAsia="Microsoft JhengHei"/>
          <w:b w:val="0"/>
          <w:sz w:val="30"/>
        </w:rPr>
        <w:t>11. 評估發現與閉環改善行動計畫（Findings-to-Action Plan / CAPA）</w:t>
      </w:r>
    </w:p>
    <w:p>
      <w:r>
        <w:rPr>
          <w:rFonts w:ascii="Microsoft JhengHei" w:hAnsi="Microsoft JhengHei" w:eastAsia="Microsoft JhengHei"/>
          <w:b w:val="0"/>
          <w:sz w:val="21"/>
        </w:rPr>
        <w:t>針對上述滿意度落後題項（Q05、Q04）及技能未熟練指標（T03、T04），管理團隊擬定具體之矯正與預防措施（CAPA）。所有行動均指派虛擬角色權責、設定模擬改善時程並建立重開檢核機制：</w:t>
      </w:r>
    </w:p>
    <w:tbl>
      <w:tblPr>
        <w:tblW w:type="auto" w:w="0"/>
        <w:jc w:val="center"/>
        <w:tblLayout w:type="fixed"/>
        <w:tblLook w:firstColumn="1" w:firstRow="1" w:lastColumn="0" w:lastRow="0" w:noHBand="0" w:noVBand="1" w:val="04A0"/>
      </w:tblPr>
      <w:tblGrid>
        <w:gridCol w:w="1694"/>
        <w:gridCol w:w="1694"/>
        <w:gridCol w:w="1694"/>
        <w:gridCol w:w="1694"/>
        <w:gridCol w:w="1694"/>
        <w:gridCol w:w="1694"/>
        <w:gridCol w:w="1694"/>
        <w:gridCol w:w="1694"/>
        <w:gridCol w:w="1694"/>
      </w:tblGrid>
      <w:tr>
        <w:trPr>
          <w:cantSplit/>
          <w:tblHeader w:val="true"/>
        </w:trPr>
        <w:tc>
          <w:tcPr>
            <w:tcW w:type="dxa" w:w="998"/>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缺失項目編號</w:t>
            </w:r>
          </w:p>
        </w:tc>
        <w:tc>
          <w:tcPr>
            <w:tcW w:type="dxa" w:w="2708"/>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核心評估發現與支持數據來源</w:t>
            </w:r>
          </w:p>
        </w:tc>
        <w:tc>
          <w:tcPr>
            <w:tcW w:type="dxa" w:w="855"/>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優先等級</w:t>
            </w:r>
          </w:p>
        </w:tc>
        <w:tc>
          <w:tcPr>
            <w:tcW w:type="dxa" w:w="1710"/>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虛擬負責職位角色</w:t>
            </w:r>
          </w:p>
        </w:tc>
        <w:tc>
          <w:tcPr>
            <w:tcW w:type="dxa" w:w="1140"/>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模擬預定完成日</w:t>
            </w:r>
          </w:p>
        </w:tc>
        <w:tc>
          <w:tcPr>
            <w:tcW w:type="dxa" w:w="2708"/>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具體閉環改善對策內容（CAPA Actions）</w:t>
            </w:r>
          </w:p>
        </w:tc>
        <w:tc>
          <w:tcPr>
            <w:tcW w:type="dxa" w:w="1995"/>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追蹤成效衡量指標</w:t>
            </w:r>
          </w:p>
        </w:tc>
        <w:tc>
          <w:tcPr>
            <w:tcW w:type="dxa" w:w="1853"/>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改善停滯／重開觸發條件</w:t>
            </w:r>
          </w:p>
        </w:tc>
        <w:tc>
          <w:tcPr>
            <w:tcW w:type="dxa" w:w="1283"/>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結案驗證文件依據</w:t>
            </w:r>
          </w:p>
        </w:tc>
      </w:tr>
      <w:tr>
        <w:trPr>
          <w:cantSplit/>
        </w:trPr>
        <w:tc>
          <w:tcPr>
            <w:tcW w:type="dxa" w:w="998"/>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ACT-0121-01</w:t>
            </w:r>
          </w:p>
        </w:tc>
        <w:tc>
          <w:tcPr>
            <w:tcW w:type="dxa" w:w="2708"/>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實作演練時間嚴重不足</w:t>
            </w:r>
            <w:r>
              <w:br/>
            </w:r>
            <w:r>
              <w:rPr>
                <w:rFonts w:ascii="Microsoft JhengHei" w:hAnsi="Microsoft JhengHei" w:eastAsia="Microsoft JhengHei"/>
                <w:b w:val="0"/>
                <w:sz w:val="19"/>
              </w:rPr>
              <w:t>支持數據：Q05 滿意度僅 3.44 分 (正向率 44.4%)；T03 輪椅移位後測滿分率僅 37.5%；質性回饋 P02 指出操作僅 1 次過於緊迫。</w:t>
            </w:r>
          </w:p>
        </w:tc>
        <w:tc>
          <w:tcPr>
            <w:tcW w:type="dxa" w:w="85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高 (High)</w:t>
            </w:r>
          </w:p>
        </w:tc>
        <w:tc>
          <w:tcPr>
            <w:tcW w:type="dxa" w:w="171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培訓教學設計組長</w:t>
            </w:r>
            <w:r>
              <w:br/>
            </w:r>
            <w:r>
              <w:rPr>
                <w:rFonts w:ascii="Microsoft JhengHei" w:hAnsi="Microsoft JhengHei" w:eastAsia="Microsoft JhengHei"/>
                <w:b w:val="0"/>
                <w:sz w:val="19"/>
              </w:rPr>
              <w:t>(Instructional Design Lead)</w:t>
            </w:r>
          </w:p>
        </w:tc>
        <w:tc>
          <w:tcPr>
            <w:tcW w:type="dxa" w:w="114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2026-11-15</w:t>
            </w:r>
            <w:r>
              <w:br/>
            </w:r>
            <w:r>
              <w:rPr>
                <w:rFonts w:ascii="Microsoft JhengHei" w:hAnsi="Microsoft JhengHei" w:eastAsia="Microsoft JhengHei"/>
                <w:b w:val="0"/>
                <w:sz w:val="19"/>
              </w:rPr>
              <w:t>【SAMPLE】</w:t>
            </w:r>
          </w:p>
        </w:tc>
        <w:tc>
          <w:tcPr>
            <w:tcW w:type="dxa" w:w="2708"/>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 調整課表配比：講述時間縮減 20%，實作演練時數由原 60 分鐘擴增至 100 分鐘。</w:t>
            </w:r>
            <w:r>
              <w:br/>
            </w:r>
            <w:r>
              <w:rPr>
                <w:rFonts w:ascii="Microsoft JhengHei" w:hAnsi="Microsoft JhengHei" w:eastAsia="Microsoft JhengHei"/>
                <w:b w:val="0"/>
                <w:sz w:val="19"/>
              </w:rPr>
              <w:t>2. 實施「雙循環演練法」：每位學員操作後經講師回饋，必須進行第二次強化演練。</w:t>
            </w:r>
          </w:p>
        </w:tc>
        <w:tc>
          <w:tcPr>
            <w:tcW w:type="dxa" w:w="199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下梯次 Q05 滿意度  ≥  4.20 分；T03 實作後測滿分率提升至  ≥  70.0%。</w:t>
            </w:r>
          </w:p>
        </w:tc>
        <w:tc>
          <w:tcPr>
            <w:tcW w:type="dxa" w:w="185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下梯次 Q05 正向滿意率仍低於 60%，或 T03 後測滿分率低於 50% 即重啟檢討。</w:t>
            </w:r>
          </w:p>
        </w:tc>
        <w:tc>
          <w:tcPr>
            <w:tcW w:type="dxa" w:w="12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修正後課表配當表、新梯次實作評分表。</w:t>
            </w:r>
          </w:p>
        </w:tc>
      </w:tr>
      <w:tr>
        <w:trPr>
          <w:cantSplit/>
        </w:trPr>
        <w:tc>
          <w:tcPr>
            <w:tcW w:type="dxa" w:w="998"/>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ACT-0121-02</w:t>
            </w:r>
          </w:p>
        </w:tc>
        <w:tc>
          <w:tcPr>
            <w:tcW w:type="dxa" w:w="2708"/>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輔具操作教材圖解不足</w:t>
            </w:r>
            <w:r>
              <w:br/>
            </w:r>
            <w:r>
              <w:rPr>
                <w:rFonts w:ascii="Microsoft JhengHei" w:hAnsi="Microsoft JhengHei" w:eastAsia="Microsoft JhengHei"/>
                <w:b w:val="0"/>
                <w:sz w:val="19"/>
              </w:rPr>
              <w:t>支持數據：Q04 教材滿意度 3.78 分 (正向率 66.7%)；質性回饋 P02 建議提供隨身圖卡以助記憶。</w:t>
            </w:r>
          </w:p>
        </w:tc>
        <w:tc>
          <w:tcPr>
            <w:tcW w:type="dxa" w:w="85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中 (Medium)</w:t>
            </w:r>
          </w:p>
        </w:tc>
        <w:tc>
          <w:tcPr>
            <w:tcW w:type="dxa" w:w="171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課程教材研發專員</w:t>
            </w:r>
            <w:r>
              <w:br/>
            </w:r>
            <w:r>
              <w:rPr>
                <w:rFonts w:ascii="Microsoft JhengHei" w:hAnsi="Microsoft JhengHei" w:eastAsia="Microsoft JhengHei"/>
                <w:b w:val="0"/>
                <w:sz w:val="19"/>
              </w:rPr>
              <w:t>(Curriculum Developer)</w:t>
            </w:r>
          </w:p>
        </w:tc>
        <w:tc>
          <w:tcPr>
            <w:tcW w:type="dxa" w:w="114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2026-11-20</w:t>
            </w:r>
            <w:r>
              <w:br/>
            </w:r>
            <w:r>
              <w:rPr>
                <w:rFonts w:ascii="Microsoft JhengHei" w:hAnsi="Microsoft JhengHei" w:eastAsia="Microsoft JhengHei"/>
                <w:b w:val="0"/>
                <w:sz w:val="19"/>
              </w:rPr>
              <w:t>【SAMPLE】</w:t>
            </w:r>
          </w:p>
        </w:tc>
        <w:tc>
          <w:tcPr>
            <w:tcW w:type="dxa" w:w="2708"/>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 重新編排實作講義，將文字條列改為彩色全彩「標準作業流程圖（SOP Flowchart）」。</w:t>
            </w:r>
            <w:r>
              <w:br/>
            </w:r>
            <w:r>
              <w:rPr>
                <w:rFonts w:ascii="Microsoft JhengHei" w:hAnsi="Microsoft JhengHei" w:eastAsia="Microsoft JhengHei"/>
                <w:b w:val="0"/>
                <w:sz w:val="19"/>
              </w:rPr>
              <w:t>2. 製作防水護貝之「輪椅移位 6 步防呆口袋卡」，隨講義發放供現場隨時查閱。</w:t>
            </w:r>
          </w:p>
        </w:tc>
        <w:tc>
          <w:tcPr>
            <w:tcW w:type="dxa" w:w="199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下梯次 Q04 正向滿意率  ≥  80.0%；教材實用性平均得分  ≥  4.20 分。</w:t>
            </w:r>
          </w:p>
        </w:tc>
        <w:tc>
          <w:tcPr>
            <w:tcW w:type="dxa" w:w="185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印刷樣本經 2 名講師試閱評審未達 80 分即退回修正。</w:t>
            </w:r>
          </w:p>
        </w:tc>
        <w:tc>
          <w:tcPr>
            <w:tcW w:type="dxa" w:w="12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口袋卡發行審查紀錄、教材送印簽收單。</w:t>
            </w:r>
          </w:p>
        </w:tc>
      </w:tr>
      <w:tr>
        <w:trPr>
          <w:cantSplit/>
        </w:trPr>
        <w:tc>
          <w:tcPr>
            <w:tcW w:type="dxa" w:w="998"/>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ACT-0121-03</w:t>
            </w:r>
          </w:p>
        </w:tc>
        <w:tc>
          <w:tcPr>
            <w:tcW w:type="dxa" w:w="2708"/>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意外通報情境缺乏動態演練</w:t>
            </w:r>
            <w:r>
              <w:br/>
            </w:r>
            <w:r>
              <w:rPr>
                <w:rFonts w:ascii="Microsoft JhengHei" w:hAnsi="Microsoft JhengHei" w:eastAsia="Microsoft JhengHei"/>
                <w:b w:val="0"/>
                <w:sz w:val="19"/>
              </w:rPr>
              <w:t>支持數據：T04 意外處置後測滿分率僅 62.5%；質性回饋 P04 反映面對長輩倒地瞬間仍會慌亂。</w:t>
            </w:r>
          </w:p>
        </w:tc>
        <w:tc>
          <w:tcPr>
            <w:tcW w:type="dxa" w:w="85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sz w:val="19"/>
              </w:rPr>
              <w:t>中 (Medium)</w:t>
            </w:r>
          </w:p>
        </w:tc>
        <w:tc>
          <w:tcPr>
            <w:tcW w:type="dxa" w:w="171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模擬演練指導講師</w:t>
            </w:r>
            <w:r>
              <w:br/>
            </w:r>
            <w:r>
              <w:rPr>
                <w:rFonts w:ascii="Microsoft JhengHei" w:hAnsi="Microsoft JhengHei" w:eastAsia="Microsoft JhengHei"/>
                <w:b w:val="0"/>
                <w:sz w:val="19"/>
              </w:rPr>
              <w:t>(Simulation Instructor)</w:t>
            </w:r>
          </w:p>
        </w:tc>
        <w:tc>
          <w:tcPr>
            <w:tcW w:type="dxa" w:w="1140"/>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2026-11-30</w:t>
            </w:r>
            <w:r>
              <w:br/>
            </w:r>
            <w:r>
              <w:rPr>
                <w:rFonts w:ascii="Microsoft JhengHei" w:hAnsi="Microsoft JhengHei" w:eastAsia="Microsoft JhengHei"/>
                <w:b w:val="0"/>
                <w:sz w:val="19"/>
              </w:rPr>
              <w:t>【SAMPLE】</w:t>
            </w:r>
          </w:p>
        </w:tc>
        <w:tc>
          <w:tcPr>
            <w:tcW w:type="dxa" w:w="2708"/>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 導入「隨機情境角色扮演（Role-play）」：設計長輩突發暈眩與滑落兩種實體演練情境。</w:t>
            </w:r>
            <w:r>
              <w:br/>
            </w:r>
            <w:r>
              <w:rPr>
                <w:rFonts w:ascii="Microsoft JhengHei" w:hAnsi="Microsoft JhengHei" w:eastAsia="Microsoft JhengHei"/>
                <w:b w:val="0"/>
                <w:sz w:val="19"/>
              </w:rPr>
              <w:t>2. 增設緊急通報錄音電話模擬道具，強制每位學員口語覆誦通報三要素（人事地）。</w:t>
            </w:r>
          </w:p>
        </w:tc>
        <w:tc>
          <w:tcPr>
            <w:tcW w:type="dxa" w:w="1995"/>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下梯次 T04 意外處置後測滿分率達到  ≥  85.0%。</w:t>
            </w:r>
          </w:p>
        </w:tc>
        <w:tc>
          <w:tcPr>
            <w:tcW w:type="dxa" w:w="185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演練測試中若有學員遺漏通報關鍵要件達 30% 以上即重開。</w:t>
            </w:r>
          </w:p>
        </w:tc>
        <w:tc>
          <w:tcPr>
            <w:tcW w:type="dxa" w:w="128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情境演練教案腳本、學員演練考核表。</w:t>
            </w:r>
          </w:p>
        </w:tc>
      </w:tr>
      <w:tr>
        <w:trPr>
          <w:cantSplit/>
        </w:trPr>
        <w:tc>
          <w:tcPr>
            <w:tcW w:type="dxa" w:w="998"/>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ACT-0121-04</w:t>
            </w:r>
          </w:p>
        </w:tc>
        <w:tc>
          <w:tcPr>
            <w:tcW w:type="dxa" w:w="2708"/>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問卷與評量缺考漏填管理</w:t>
            </w:r>
            <w:r>
              <w:br/>
            </w:r>
            <w:r>
              <w:rPr>
                <w:rFonts w:ascii="Microsoft JhengHei" w:hAnsi="Microsoft JhengHei" w:eastAsia="Microsoft JhengHei"/>
                <w:b w:val="0"/>
                <w:sz w:val="19"/>
              </w:rPr>
              <w:t>支持數據：本梯次有 1 份問卷未收回 (P10) 與 1 份部分漏填 (P09)，造成樣本數流失。</w:t>
            </w:r>
          </w:p>
        </w:tc>
        <w:tc>
          <w:tcPr>
            <w:tcW w:type="dxa" w:w="85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sz w:val="19"/>
              </w:rPr>
              <w:t>低 (Low)</w:t>
            </w:r>
          </w:p>
        </w:tc>
        <w:tc>
          <w:tcPr>
            <w:tcW w:type="dxa" w:w="171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志工班務行政專員</w:t>
            </w:r>
            <w:r>
              <w:br/>
            </w:r>
            <w:r>
              <w:rPr>
                <w:rFonts w:ascii="Microsoft JhengHei" w:hAnsi="Microsoft JhengHei" w:eastAsia="Microsoft JhengHei"/>
                <w:b w:val="0"/>
                <w:sz w:val="19"/>
              </w:rPr>
              <w:t>(Operations Coordinator)</w:t>
            </w:r>
          </w:p>
        </w:tc>
        <w:tc>
          <w:tcPr>
            <w:tcW w:type="dxa" w:w="1140"/>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2026-11-10</w:t>
            </w:r>
            <w:r>
              <w:br/>
            </w:r>
            <w:r>
              <w:rPr>
                <w:rFonts w:ascii="Microsoft JhengHei" w:hAnsi="Microsoft JhengHei" w:eastAsia="Microsoft JhengHei"/>
                <w:b w:val="0"/>
                <w:sz w:val="19"/>
              </w:rPr>
              <w:t>【SAMPLE】</w:t>
            </w:r>
          </w:p>
        </w:tc>
        <w:tc>
          <w:tcPr>
            <w:tcW w:type="dxa" w:w="2708"/>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 建立「中途離席查核點機制」：學員因故提前離席時，主動遞交線上填答 QR Code。</w:t>
            </w:r>
            <w:r>
              <w:br/>
            </w:r>
            <w:r>
              <w:rPr>
                <w:rFonts w:ascii="Microsoft JhengHei" w:hAnsi="Microsoft JhengHei" w:eastAsia="Microsoft JhengHei"/>
                <w:b w:val="0"/>
                <w:sz w:val="19"/>
              </w:rPr>
              <w:t>2. 問卷回收時由班務人員執行現場「完整性防呆點檢」，發現漏頁即時提醒補填。</w:t>
            </w:r>
          </w:p>
        </w:tc>
        <w:tc>
          <w:tcPr>
            <w:tcW w:type="dxa" w:w="1995"/>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下梯次問卷完整回收率提升至  ≥  95.0%，無部分填答卷。</w:t>
            </w:r>
          </w:p>
        </w:tc>
        <w:tc>
          <w:tcPr>
            <w:tcW w:type="dxa" w:w="185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下梯次問卷回收率低於 85% 即重啟檢討離席點檢機制。</w:t>
            </w:r>
          </w:p>
        </w:tc>
        <w:tc>
          <w:tcPr>
            <w:tcW w:type="dxa" w:w="128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班務行政檢核清單、問卷現場回收點核表。</w:t>
            </w:r>
          </w:p>
        </w:tc>
      </w:tr>
    </w:tbl>
    <w:p>
      <w:pPr>
        <w:spacing w:after="20"/>
      </w:pPr>
    </w:p>
    <w:p>
      <w:pPr>
        <w:pStyle w:val="Heading1"/>
      </w:pPr>
      <w:r>
        <w:rPr>
          <w:rFonts w:ascii="Microsoft JhengHei" w:hAnsi="Microsoft JhengHei" w:eastAsia="Microsoft JhengHei"/>
          <w:b w:val="0"/>
          <w:sz w:val="30"/>
        </w:rPr>
        <w:t>12. 樣本／真實證據邊界與逐項替換登記表（Replacement Register &amp; Assurance）</w:t>
      </w:r>
    </w:p>
    <w:p>
      <w:pPr>
        <w:pStyle w:val="Heading2"/>
      </w:pPr>
      <w:r>
        <w:rPr>
          <w:rFonts w:ascii="Microsoft JhengHei" w:hAnsi="Microsoft JhengHei" w:eastAsia="Microsoft JhengHei"/>
          <w:b w:val="0"/>
          <w:sz w:val="25"/>
        </w:rPr>
        <w:t>12.1 樣本與真實邊界聲明（Boundary Assertion）</w:t>
      </w:r>
    </w:p>
    <w:p>
      <w:pPr>
        <w:spacing w:after="100"/>
        <w:ind w:left="288" w:right="216"/>
        <w:shd w:fill="EAF2F8"/>
      </w:pPr>
      <w:r>
        <w:rPr>
          <w:rFonts w:ascii="Microsoft JhengHei" w:hAnsi="Microsoft JhengHei" w:eastAsia="Microsoft JhengHei"/>
          <w:b/>
          <w:sz w:val="21"/>
        </w:rPr>
        <w:t>【評核證據效力防護線】</w:t>
      </w:r>
      <w:r>
        <w:rPr>
          <w:rFonts w:ascii="Microsoft JhengHei" w:hAnsi="Microsoft JhengHei" w:eastAsia="Microsoft JhengHei"/>
          <w:b w:val="0"/>
          <w:sz w:val="21"/>
        </w:rPr>
        <w:t>：</w:t>
      </w:r>
    </w:p>
    <w:p>
      <w:pPr>
        <w:spacing w:after="100"/>
        <w:ind w:left="288" w:right="216"/>
        <w:shd w:fill="EAF2F8"/>
      </w:pPr>
      <w:r>
        <w:rPr>
          <w:rFonts w:ascii="Microsoft JhengHei" w:hAnsi="Microsoft JhengHei" w:eastAsia="Microsoft JhengHei"/>
          <w:b w:val="0"/>
          <w:sz w:val="21"/>
        </w:rPr>
        <w:t>本份報告中出現之機構抬頭、受訓志工代碼（P01–P10）、問卷作答數據、技能評分、心得文本、改善日期與負責角色，均為</w:t>
      </w:r>
      <w:r>
        <w:rPr>
          <w:rFonts w:ascii="Microsoft JhengHei" w:hAnsi="Microsoft JhengHei" w:eastAsia="Microsoft JhengHei"/>
          <w:b/>
          <w:sz w:val="21"/>
        </w:rPr>
        <w:t>【SAMPLE / SYNTHETIC】虛擬演練資料</w:t>
      </w:r>
      <w:r>
        <w:rPr>
          <w:rFonts w:ascii="Microsoft JhengHei" w:hAnsi="Microsoft JhengHei" w:eastAsia="Microsoft JhengHei"/>
          <w:b w:val="0"/>
          <w:sz w:val="21"/>
        </w:rPr>
        <w:t>。</w:t>
      </w:r>
    </w:p>
    <w:p>
      <w:pPr>
        <w:spacing w:after="100"/>
        <w:ind w:left="288" w:right="216"/>
        <w:shd w:fill="EAF2F8"/>
      </w:pPr>
    </w:p>
    <w:p>
      <w:pPr>
        <w:spacing w:after="100"/>
        <w:ind w:left="288" w:right="216"/>
        <w:shd w:fill="EAF2F8"/>
      </w:pPr>
      <w:r>
        <w:rPr>
          <w:rFonts w:ascii="Microsoft JhengHei" w:hAnsi="Microsoft JhengHei" w:eastAsia="Microsoft JhengHei"/>
          <w:b w:val="0"/>
          <w:sz w:val="21"/>
        </w:rPr>
        <w:t>在社團法人原始點協會正式提供具備簽名、日期及稽核軌跡之真實學員名冊、紙本問卷正本、評分表正本及審查紀錄前：</w:t>
      </w:r>
    </w:p>
    <w:p>
      <w:pPr>
        <w:spacing w:after="100"/>
        <w:ind w:left="288" w:right="216"/>
        <w:shd w:fill="EAF2F8"/>
      </w:pPr>
      <w:r>
        <w:rPr>
          <w:rFonts w:ascii="Microsoft JhengHei" w:hAnsi="Microsoft JhengHei" w:eastAsia="Microsoft JhengHei"/>
          <w:b w:val="0"/>
          <w:sz w:val="21"/>
        </w:rPr>
        <w:t>1. 本報告之所有數值絕不代表協會目前之實際培訓成效。</w:t>
      </w:r>
    </w:p>
    <w:p>
      <w:pPr>
        <w:spacing w:after="100"/>
        <w:ind w:left="288" w:right="216"/>
        <w:shd w:fill="EAF2F8"/>
      </w:pPr>
      <w:r>
        <w:rPr>
          <w:rFonts w:ascii="Microsoft JhengHei" w:hAnsi="Microsoft JhengHei" w:eastAsia="Microsoft JhengHei"/>
          <w:b w:val="0"/>
          <w:sz w:val="21"/>
        </w:rPr>
        <w:t>2. 評核委員與外部審查員應將本報告視為「管理機制與評量計算方法之合規性展示文件」。</w:t>
      </w:r>
    </w:p>
    <w:p>
      <w:pPr>
        <w:spacing w:after="100"/>
        <w:ind w:left="288" w:right="216"/>
        <w:shd w:fill="EAF2F8"/>
      </w:pPr>
      <w:r>
        <w:rPr>
          <w:rFonts w:ascii="Microsoft JhengHei" w:hAnsi="Microsoft JhengHei" w:eastAsia="Microsoft JhengHei"/>
          <w:b w:val="0"/>
          <w:sz w:val="21"/>
        </w:rPr>
        <w:t>3. 正式 TTQS 評核送審前，必須由專案負責人依據下方登記表，逐項抽換為經過內部授權之真實證據（Human Gate Approved）。</w:t>
      </w:r>
    </w:p>
    <w:p>
      <w:pPr>
        <w:pStyle w:val="Heading2"/>
      </w:pPr>
      <w:r>
        <w:rPr>
          <w:rFonts w:ascii="Microsoft JhengHei" w:hAnsi="Microsoft JhengHei" w:eastAsia="Microsoft JhengHei"/>
          <w:b w:val="0"/>
          <w:sz w:val="25"/>
        </w:rPr>
        <w:t>12.2 逐項事實替換登記表（Fact-by-Fact Replacement Register）</w:t>
      </w:r>
    </w:p>
    <w:p>
      <w:r>
        <w:rPr>
          <w:rFonts w:ascii="Microsoft JhengHei" w:hAnsi="Microsoft JhengHei" w:eastAsia="Microsoft JhengHei"/>
          <w:b w:val="0"/>
          <w:sz w:val="21"/>
        </w:rPr>
        <w:t>為確保未來進行真實證據抽換時無任何遺漏，本報告建立微觀之原子級替換對照表。未來導入真實數據時，必須直接對應指定之真實憑證來源：</w:t>
      </w:r>
    </w:p>
    <w:tbl>
      <w:tblPr>
        <w:tblW w:type="auto" w:w="0"/>
        <w:jc w:val="center"/>
        <w:tblLayout w:type="fixed"/>
        <w:tblLook w:firstColumn="1" w:firstRow="1" w:lastColumn="0" w:lastRow="0" w:noHBand="0" w:noVBand="1" w:val="04A0"/>
      </w:tblPr>
      <w:tblGrid>
        <w:gridCol w:w="3050"/>
        <w:gridCol w:w="3050"/>
        <w:gridCol w:w="3050"/>
        <w:gridCol w:w="3050"/>
        <w:gridCol w:w="3050"/>
      </w:tblGrid>
      <w:tr>
        <w:trPr>
          <w:cantSplit/>
          <w:tblHeader w:val="true"/>
        </w:trPr>
        <w:tc>
          <w:tcPr>
            <w:tcW w:type="dxa" w:w="2933"/>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替換鍵值</w:t>
            </w:r>
          </w:p>
        </w:tc>
        <w:tc>
          <w:tcPr>
            <w:tcW w:type="dxa" w:w="4106"/>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合成事實與精確定位</w:t>
            </w:r>
          </w:p>
        </w:tc>
        <w:tc>
          <w:tcPr>
            <w:tcW w:type="dxa" w:w="3226"/>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衍生值／重算規則</w:t>
            </w:r>
          </w:p>
        </w:tc>
        <w:tc>
          <w:tcPr>
            <w:tcW w:type="dxa" w:w="2639"/>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真實替換所需來源</w:t>
            </w:r>
          </w:p>
        </w:tc>
        <w:tc>
          <w:tcPr>
            <w:tcW w:type="dxa" w:w="2346"/>
            <w:vAlign w:val="top"/>
            <w:tcMar>
              <w:top w:w="65" w:type="dxa"/>
              <w:start w:w="65" w:type="dxa"/>
              <w:bottom w:w="65"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狀態</w:t>
            </w:r>
          </w:p>
        </w:tc>
      </w:tr>
      <w:tr>
        <w:trPr>
          <w:cantSplit/>
        </w:trPr>
        <w:tc>
          <w:tcPr>
            <w:tcW w:type="dxa" w:w="293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REP-0121-CASE-001</w:t>
            </w:r>
          </w:p>
        </w:tc>
        <w:tc>
          <w:tcPr>
            <w:tcW w:type="dxa" w:w="410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虛構課程名稱與情境，封面、§2–§3</w:t>
            </w:r>
          </w:p>
        </w:tc>
        <w:tc>
          <w:tcPr>
            <w:tcW w:type="dxa" w:w="322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僅為設計情境</w:t>
            </w:r>
          </w:p>
        </w:tc>
        <w:tc>
          <w:tcPr>
            <w:tcW w:type="dxa" w:w="263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經授權的正式課程計畫、日期及核准紀錄</w:t>
            </w:r>
          </w:p>
        </w:tc>
        <w:tc>
          <w:tcPr>
            <w:tcW w:type="dxa" w:w="234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HELD；目前未提供</w:t>
            </w:r>
          </w:p>
        </w:tc>
      </w:tr>
      <w:tr>
        <w:trPr>
          <w:cantSplit/>
        </w:trPr>
        <w:tc>
          <w:tcPr>
            <w:tcW w:type="dxa" w:w="293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REP-0121-001</w:t>
            </w:r>
          </w:p>
        </w:tc>
        <w:tc>
          <w:tcPr>
            <w:tcW w:type="dxa" w:w="410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邀請基數 10，§3、§6.1；P01–P10 邀請框</w:t>
            </w:r>
          </w:p>
        </w:tc>
        <w:tc>
          <w:tcPr>
            <w:tcW w:type="dxa" w:w="322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問卷回收率分母，不代表出席</w:t>
            </w:r>
          </w:p>
        </w:tc>
        <w:tc>
          <w:tcPr>
            <w:tcW w:type="dxa" w:w="263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實際核准名冊與邀請／送達紀錄</w:t>
            </w:r>
          </w:p>
        </w:tc>
        <w:tc>
          <w:tcPr>
            <w:tcW w:type="dxa" w:w="234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REP-0121-002-P01..P10</w:t>
            </w:r>
          </w:p>
        </w:tc>
        <w:tc>
          <w:tcPr>
            <w:tcW w:type="dxa" w:w="410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§6.1–§6.2 每位代碼的回覆狀態</w:t>
            </w:r>
          </w:p>
        </w:tc>
        <w:tc>
          <w:tcPr>
            <w:tcW w:type="dxa" w:w="3226"/>
            <w:vAlign w:val="top"/>
            <w:tcMar>
              <w:top w:w="65" w:type="dxa"/>
              <w:start w:w="65" w:type="dxa"/>
              <w:bottom w:w="65" w:type="dxa"/>
              <w:end w:w="65" w:type="dxa"/>
            </w:tcMar>
          </w:tcPr>
          <w:p>
            <w:pPr>
              <w:spacing w:after="0" w:before="0" w:line="240" w:lineRule="auto"/>
              <w:jc w:val="left"/>
            </w:pPr>
            <w:r>
              <w:t>9 份回收（8 份完整、1 份部分）、P10 無回覆</w:t>
            </w:r>
          </w:p>
        </w:tc>
        <w:tc>
          <w:tcPr>
            <w:tcW w:type="dxa" w:w="263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原始問卷及點收紀錄；授權後去識別核對</w:t>
            </w:r>
          </w:p>
        </w:tc>
        <w:tc>
          <w:tcPr>
            <w:tcW w:type="dxa" w:w="234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REP-0121-003</w:t>
            </w:r>
          </w:p>
        </w:tc>
        <w:tc>
          <w:tcPr>
            <w:tcW w:type="dxa" w:w="410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回收率，§6.1、§9</w:t>
            </w:r>
          </w:p>
        </w:tc>
        <w:tc>
          <w:tcPr>
            <w:tcW w:type="dxa" w:w="322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9 ÷ 10 × 100% = 90.0%</w:t>
            </w:r>
          </w:p>
        </w:tc>
        <w:tc>
          <w:tcPr>
            <w:tcW w:type="dxa" w:w="263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由真實邀請與回收資料重算</w:t>
            </w:r>
          </w:p>
        </w:tc>
        <w:tc>
          <w:tcPr>
            <w:tcW w:type="dxa" w:w="234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REP-0121-004-P01..P10</w:t>
            </w:r>
          </w:p>
        </w:tc>
        <w:tc>
          <w:tcPr>
            <w:tcW w:type="dxa" w:w="410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問卷有效性代碼，§6.1–§6.2</w:t>
            </w:r>
          </w:p>
        </w:tc>
        <w:tc>
          <w:tcPr>
            <w:tcW w:type="dxa" w:w="322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P01–P08 完整；P09 部分；P10 無回覆</w:t>
            </w:r>
          </w:p>
        </w:tc>
        <w:tc>
          <w:tcPr>
            <w:tcW w:type="dxa" w:w="263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真實問卷完整度檢核底稿</w:t>
            </w:r>
          </w:p>
        </w:tc>
        <w:tc>
          <w:tcPr>
            <w:tcW w:type="dxa" w:w="234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REP-0121-005-P01..P10</w:t>
            </w:r>
          </w:p>
        </w:tc>
        <w:tc>
          <w:tcPr>
            <w:tcW w:type="dxa" w:w="410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§6.2 每一列；子定位 Pxx/Q01..Q10，每格為值或 Missing</w:t>
            </w:r>
          </w:p>
        </w:tc>
        <w:tc>
          <w:tcPr>
            <w:tcW w:type="dxa" w:w="322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Missing 不補零；鍵加欄位碼可逐格定位</w:t>
            </w:r>
          </w:p>
        </w:tc>
        <w:tc>
          <w:tcPr>
            <w:tcW w:type="dxa" w:w="263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原始問卷、雙人錄入及差異裁決記錄</w:t>
            </w:r>
          </w:p>
        </w:tc>
        <w:tc>
          <w:tcPr>
            <w:tcW w:type="dxa" w:w="234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REP-0121-INST-Q01..Q12</w:t>
            </w:r>
          </w:p>
        </w:tc>
        <w:tc>
          <w:tcPr>
            <w:tcW w:type="dxa" w:w="410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§5.2 題目文字；Q01–Q10 計分、Q11–Q12 選答</w:t>
            </w:r>
          </w:p>
        </w:tc>
        <w:tc>
          <w:tcPr>
            <w:tcW w:type="dxa" w:w="322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開放題不納入計分或完整度門檻</w:t>
            </w:r>
          </w:p>
        </w:tc>
        <w:tc>
          <w:tcPr>
            <w:tcW w:type="dxa" w:w="263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協會授權之實際問卷版本及核准紀錄</w:t>
            </w:r>
          </w:p>
        </w:tc>
        <w:tc>
          <w:tcPr>
            <w:tcW w:type="dxa" w:w="234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REP-0121-006-Q01..Q10</w:t>
            </w:r>
          </w:p>
        </w:tc>
        <w:tc>
          <w:tcPr>
            <w:tcW w:type="dxa" w:w="410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§6.2 分母列與 §9.1 對應題目統計</w:t>
            </w:r>
          </w:p>
        </w:tc>
        <w:tc>
          <w:tcPr>
            <w:tcW w:type="dxa" w:w="322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由鍵005逐格重算各題 n</w:t>
            </w:r>
          </w:p>
        </w:tc>
        <w:tc>
          <w:tcPr>
            <w:tcW w:type="dxa" w:w="263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原始問卷與計算底稿</w:t>
            </w:r>
          </w:p>
        </w:tc>
        <w:tc>
          <w:tcPr>
            <w:tcW w:type="dxa" w:w="234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REP-0121-007-Q01..Q10</w:t>
            </w:r>
          </w:p>
        </w:tc>
        <w:tc>
          <w:tcPr>
            <w:tcW w:type="dxa" w:w="410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§9.1 每題平均數</w:t>
            </w:r>
          </w:p>
        </w:tc>
        <w:tc>
          <w:tcPr>
            <w:tcW w:type="dxa" w:w="322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題分總和 ÷ 有效 n；四捨五入2位</w:t>
            </w:r>
          </w:p>
        </w:tc>
        <w:tc>
          <w:tcPr>
            <w:tcW w:type="dxa" w:w="263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由真實問卷矩陣重算</w:t>
            </w:r>
          </w:p>
        </w:tc>
        <w:tc>
          <w:tcPr>
            <w:tcW w:type="dxa" w:w="234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REP-0121-008-Q01..Q10</w:t>
            </w:r>
          </w:p>
        </w:tc>
        <w:tc>
          <w:tcPr>
            <w:tcW w:type="dxa" w:w="410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§9.1 每題4–5分人數</w:t>
            </w:r>
          </w:p>
        </w:tc>
        <w:tc>
          <w:tcPr>
            <w:tcW w:type="dxa" w:w="322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只計有效4或5分</w:t>
            </w:r>
          </w:p>
        </w:tc>
        <w:tc>
          <w:tcPr>
            <w:tcW w:type="dxa" w:w="263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由真實問卷矩陣重算</w:t>
            </w:r>
          </w:p>
        </w:tc>
        <w:tc>
          <w:tcPr>
            <w:tcW w:type="dxa" w:w="234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REP-0121-009-Q01..Q10</w:t>
            </w:r>
          </w:p>
        </w:tc>
        <w:tc>
          <w:tcPr>
            <w:tcW w:type="dxa" w:w="410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§9.1 每題正向率</w:t>
            </w:r>
          </w:p>
        </w:tc>
        <w:tc>
          <w:tcPr>
            <w:tcW w:type="dxa" w:w="322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正向人數 ÷ 該題 n × 100%；四捨五入1位</w:t>
            </w:r>
          </w:p>
        </w:tc>
        <w:tc>
          <w:tcPr>
            <w:tcW w:type="dxa" w:w="263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由真實問卷矩陣重算</w:t>
            </w:r>
          </w:p>
        </w:tc>
        <w:tc>
          <w:tcPr>
            <w:tcW w:type="dxa" w:w="234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REP-0121-010</w:t>
            </w:r>
          </w:p>
        </w:tc>
        <w:tc>
          <w:tcPr>
            <w:tcW w:type="dxa" w:w="410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§9.2 綜合平均及P01–P08完整卷分數</w:t>
            </w:r>
          </w:p>
        </w:tc>
        <w:tc>
          <w:tcPr>
            <w:tcW w:type="dxa" w:w="322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333 ÷ 80 = 4.1625，顯示4.16</w:t>
            </w:r>
          </w:p>
        </w:tc>
        <w:tc>
          <w:tcPr>
            <w:tcW w:type="dxa" w:w="263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真實完整卷及可重現計算表</w:t>
            </w:r>
          </w:p>
        </w:tc>
        <w:tc>
          <w:tcPr>
            <w:tcW w:type="dxa" w:w="234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REP-0121-RUB-T01..T05</w:t>
            </w:r>
          </w:p>
        </w:tc>
        <w:tc>
          <w:tcPr>
            <w:tcW w:type="dxa" w:w="410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§7.1 各技能任務及0／10／20行為錨點</w:t>
            </w:r>
          </w:p>
        </w:tc>
        <w:tc>
          <w:tcPr>
            <w:tcW w:type="dxa" w:w="322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合成規準；非正式能力認證標準</w:t>
            </w:r>
          </w:p>
        </w:tc>
        <w:tc>
          <w:tcPr>
            <w:tcW w:type="dxa" w:w="263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協會授權程序核定的規準版本</w:t>
            </w:r>
          </w:p>
        </w:tc>
        <w:tc>
          <w:tcPr>
            <w:tcW w:type="dxa" w:w="234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REP-0121-013</w:t>
            </w:r>
          </w:p>
        </w:tc>
        <w:tc>
          <w:tcPr>
            <w:tcW w:type="dxa" w:w="410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§7.2、§9.3 的合成70分門檻</w:t>
            </w:r>
          </w:p>
        </w:tc>
        <w:tc>
          <w:tcPr>
            <w:tcW w:type="dxa" w:w="322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SAMPLE；未核定不可作實際資格判定</w:t>
            </w:r>
          </w:p>
        </w:tc>
        <w:tc>
          <w:tcPr>
            <w:tcW w:type="dxa" w:w="263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正式權責程序核定的門檻文件</w:t>
            </w:r>
          </w:p>
        </w:tc>
        <w:tc>
          <w:tcPr>
            <w:tcW w:type="dxa" w:w="234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REP-0121-011-P01..P10</w:t>
            </w:r>
          </w:p>
        </w:tc>
        <w:tc>
          <w:tcPr>
            <w:tcW w:type="dxa" w:w="410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§8.1 每一代碼列；子定位 PRE/T01..T05、POST/T01..T05 及缺考狀態</w:t>
            </w:r>
          </w:p>
        </w:tc>
        <w:tc>
          <w:tcPr>
            <w:tcW w:type="dxa" w:w="322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逐格重算；ABS 不計0分</w:t>
            </w:r>
          </w:p>
        </w:tc>
        <w:tc>
          <w:tcPr>
            <w:tcW w:type="dxa" w:w="263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真實評分表、日期與授權評分者紀錄</w:t>
            </w:r>
          </w:p>
        </w:tc>
        <w:tc>
          <w:tcPr>
            <w:tcW w:type="dxa" w:w="234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REP-0121-012-P01..P10</w:t>
            </w:r>
          </w:p>
        </w:tc>
        <w:tc>
          <w:tcPr>
            <w:tcW w:type="dxa" w:w="410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§8.1 每人前測／後測總分</w:t>
            </w:r>
          </w:p>
        </w:tc>
        <w:tc>
          <w:tcPr>
            <w:tcW w:type="dxa" w:w="322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五項有效分數加總；缺考該次總分無效</w:t>
            </w:r>
          </w:p>
        </w:tc>
        <w:tc>
          <w:tcPr>
            <w:tcW w:type="dxa" w:w="263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真實評分表與重算底稿</w:t>
            </w:r>
          </w:p>
        </w:tc>
        <w:tc>
          <w:tcPr>
            <w:tcW w:type="dxa" w:w="234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REP-0121-014-P01..P08</w:t>
            </w:r>
          </w:p>
        </w:tc>
        <w:tc>
          <w:tcPr>
            <w:tcW w:type="dxa" w:w="410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§8.1 配對差值及 §9.3.2 配對平均</w:t>
            </w:r>
          </w:p>
        </w:tc>
        <w:tc>
          <w:tcPr>
            <w:tcW w:type="dxa" w:w="322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POST−PRE；僅P01–P08；380 ÷ 8 = 47.50</w:t>
            </w:r>
          </w:p>
        </w:tc>
        <w:tc>
          <w:tcPr>
            <w:tcW w:type="dxa" w:w="263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同一學員的真實前後測原始紀錄</w:t>
            </w:r>
          </w:p>
        </w:tc>
        <w:tc>
          <w:tcPr>
            <w:tcW w:type="dxa" w:w="234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REP-0121-OPEN-P01..P10</w:t>
            </w:r>
          </w:p>
        </w:tc>
        <w:tc>
          <w:tcPr>
            <w:tcW w:type="dxa" w:w="410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§6.3 Q11/Q12逐人回覆狀態</w:t>
            </w:r>
          </w:p>
        </w:tc>
        <w:tc>
          <w:tcPr>
            <w:tcW w:type="dxa" w:w="322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未答為 Missing，不作零分</w:t>
            </w:r>
          </w:p>
        </w:tc>
        <w:tc>
          <w:tcPr>
            <w:tcW w:type="dxa" w:w="263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真實回饋原件及適用的保存／引用授權</w:t>
            </w:r>
          </w:p>
        </w:tc>
        <w:tc>
          <w:tcPr>
            <w:tcW w:type="dxa" w:w="234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REP-0121-REF-P02/P04/P07</w:t>
            </w:r>
          </w:p>
        </w:tc>
        <w:tc>
          <w:tcPr>
            <w:tcW w:type="dxa" w:w="410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§10.1 三段完整合成反思文字</w:t>
            </w:r>
          </w:p>
        </w:tc>
        <w:tc>
          <w:tcPr>
            <w:tcW w:type="dxa" w:w="322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SAMPLE；不是訪談或學員原話</w:t>
            </w:r>
          </w:p>
        </w:tc>
        <w:tc>
          <w:tcPr>
            <w:tcW w:type="dxa" w:w="263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真實反思原件及適用的去識別／引用授權</w:t>
            </w:r>
          </w:p>
        </w:tc>
        <w:tc>
          <w:tcPr>
            <w:tcW w:type="dxa" w:w="234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REP-0121-ACT-01..04</w:t>
            </w:r>
          </w:p>
        </w:tc>
        <w:tc>
          <w:tcPr>
            <w:tcW w:type="dxa" w:w="410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§11每列的發現、角色、日期、目標、指標、重開條件及結案依據</w:t>
            </w:r>
          </w:p>
        </w:tc>
        <w:tc>
          <w:tcPr>
            <w:tcW w:type="dxa" w:w="322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虛構方案；未執行、未決議</w:t>
            </w:r>
          </w:p>
        </w:tc>
        <w:tc>
          <w:tcPr>
            <w:tcW w:type="dxa" w:w="2639"/>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真實檢討決議、授權責任人、核准時程及結案證據</w:t>
            </w:r>
          </w:p>
        </w:tc>
        <w:tc>
          <w:tcPr>
            <w:tcW w:type="dxa" w:w="2346"/>
            <w:vAlign w:val="top"/>
            <w:tcMar>
              <w:top w:w="65" w:type="dxa"/>
              <w:start w:w="65" w:type="dxa"/>
              <w:bottom w:w="65" w:type="dxa"/>
              <w:end w:w="65" w:type="dxa"/>
            </w:tcMar>
            <w:shd w:fill="F1F5F9"/>
          </w:tcPr>
          <w:p>
            <w:pPr>
              <w:spacing w:after="0" w:before="0" w:line="240" w:lineRule="auto"/>
              <w:jc w:val="left"/>
            </w:pPr>
            <w:r/>
            <w:r>
              <w:rPr>
                <w:rFonts w:ascii="Microsoft JhengHei" w:hAnsi="Microsoft JhengHei" w:eastAsia="Microsoft JhengHei"/>
                <w:b w:val="0"/>
                <w:sz w:val="19"/>
              </w:rPr>
              <w:t>HELD</w:t>
            </w:r>
          </w:p>
        </w:tc>
      </w:tr>
      <w:tr>
        <w:trPr>
          <w:cantSplit/>
        </w:trPr>
        <w:tc>
          <w:tcPr>
            <w:tcW w:type="dxa" w:w="2933"/>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REP-0121-REAL-STATE</w:t>
            </w:r>
          </w:p>
        </w:tc>
        <w:tc>
          <w:tcPr>
            <w:tcW w:type="dxa" w:w="410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封面、§12.1、§12.3；目前未提供真實個案原件</w:t>
            </w:r>
          </w:p>
        </w:tc>
        <w:tc>
          <w:tcPr>
            <w:tcW w:type="dxa" w:w="322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REAL evidence 未建立；不可推定</w:t>
            </w:r>
          </w:p>
        </w:tc>
        <w:tc>
          <w:tcPr>
            <w:tcW w:type="dxa" w:w="2639"/>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經授權來源、保管鏈、隱私依據與核對紀錄</w:t>
            </w:r>
          </w:p>
        </w:tc>
        <w:tc>
          <w:tcPr>
            <w:tcW w:type="dxa" w:w="2346"/>
            <w:vAlign w:val="top"/>
            <w:tcMar>
              <w:top w:w="65" w:type="dxa"/>
              <w:start w:w="65" w:type="dxa"/>
              <w:bottom w:w="65" w:type="dxa"/>
              <w:end w:w="65" w:type="dxa"/>
            </w:tcMar>
          </w:tcPr>
          <w:p>
            <w:pPr>
              <w:spacing w:after="0" w:before="0" w:line="240" w:lineRule="auto"/>
              <w:jc w:val="left"/>
            </w:pPr>
            <w:r/>
            <w:r>
              <w:rPr>
                <w:rFonts w:ascii="Microsoft JhengHei" w:hAnsi="Microsoft JhengHei" w:eastAsia="Microsoft JhengHei"/>
                <w:b w:val="0"/>
                <w:sz w:val="19"/>
              </w:rPr>
              <w:t>HELD；NOT PROVIDED</w:t>
            </w:r>
          </w:p>
        </w:tc>
      </w:tr>
      <w:tr>
        <w:tc>
          <w:tcPr>
            <w:tcW w:type="dxa" w:w="2933"/>
            <w:vAlign w:val="center"/>
            <w:tcMar>
              <w:top w:w="60" w:type="dxa"/>
              <w:start w:w="70" w:type="dxa"/>
              <w:bottom w:w="60" w:type="dxa"/>
              <w:end w:w="70" w:type="dxa"/>
            </w:tcMar>
          </w:tcPr>
          <w:p>
            <w:pPr>
              <w:spacing w:before="0" w:after="0" w:line="252" w:lineRule="auto"/>
              <w:jc w:val="center"/>
            </w:pPr>
            <w:r/>
            <w:r>
              <w:rPr>
                <w:b/>
                <w:color w:val="000000"/>
                <w:sz w:val="19"/>
              </w:rPr>
              <w:t>REP-0121-004-RATE</w:t>
            </w:r>
          </w:p>
        </w:tc>
        <w:tc>
          <w:tcPr>
            <w:tcW w:type="dxa" w:w="4106"/>
            <w:vAlign w:val="center"/>
            <w:tcMar>
              <w:top w:w="60" w:type="dxa"/>
              <w:start w:w="70" w:type="dxa"/>
              <w:bottom w:w="60" w:type="dxa"/>
              <w:end w:w="70" w:type="dxa"/>
            </w:tcMar>
          </w:tcPr>
          <w:p>
            <w:pPr>
              <w:spacing w:before="0" w:after="0" w:line="252" w:lineRule="auto"/>
              <w:jc w:val="center"/>
            </w:pPr>
            <w:r/>
            <w:r>
              <w:rPr>
                <w:b w:val="0"/>
                <w:color w:val="000000"/>
                <w:sz w:val="19"/>
              </w:rPr>
              <w:t>§6.1 與 §9.2；T05/T06；完整問卷有效率</w:t>
            </w:r>
          </w:p>
        </w:tc>
        <w:tc>
          <w:tcPr>
            <w:tcW w:type="dxa" w:w="3226"/>
            <w:vAlign w:val="center"/>
            <w:tcMar>
              <w:top w:w="60" w:type="dxa"/>
              <w:start w:w="70" w:type="dxa"/>
              <w:bottom w:w="60" w:type="dxa"/>
              <w:end w:w="70" w:type="dxa"/>
            </w:tcMar>
          </w:tcPr>
          <w:p>
            <w:pPr>
              <w:spacing w:before="0" w:after="0" w:line="252" w:lineRule="auto"/>
              <w:jc w:val="center"/>
            </w:pPr>
            <w:r/>
            <w:r>
              <w:rPr>
                <w:b w:val="0"/>
                <w:color w:val="000000"/>
                <w:sz w:val="19"/>
              </w:rPr>
              <w:t>8 ÷ 10 × 100% = 80.0%；P01–P08 完整、P09 部分、P10 無回覆</w:t>
            </w:r>
          </w:p>
        </w:tc>
        <w:tc>
          <w:tcPr>
            <w:tcW w:type="dxa" w:w="2639"/>
            <w:vAlign w:val="center"/>
            <w:tcMar>
              <w:top w:w="60" w:type="dxa"/>
              <w:start w:w="70" w:type="dxa"/>
              <w:bottom w:w="60" w:type="dxa"/>
              <w:end w:w="70" w:type="dxa"/>
            </w:tcMar>
          </w:tcPr>
          <w:p>
            <w:pPr>
              <w:spacing w:before="0" w:after="0" w:line="252" w:lineRule="auto"/>
              <w:jc w:val="center"/>
            </w:pPr>
            <w:r/>
            <w:r>
              <w:rPr>
                <w:b w:val="0"/>
                <w:color w:val="000000"/>
                <w:sz w:val="19"/>
              </w:rPr>
              <w:t>經授權的實際邀請名冊、原始問卷及完整度裁決底稿；置換 REAL 後重新計算</w:t>
            </w:r>
          </w:p>
        </w:tc>
        <w:tc>
          <w:tcPr>
            <w:tcW w:type="dxa" w:w="2346"/>
            <w:vAlign w:val="center"/>
            <w:tcMar>
              <w:top w:w="60" w:type="dxa"/>
              <w:start w:w="70" w:type="dxa"/>
              <w:bottom w:w="60" w:type="dxa"/>
              <w:end w:w="70" w:type="dxa"/>
            </w:tcMar>
          </w:tcPr>
          <w:p>
            <w:pPr>
              <w:spacing w:before="0" w:after="0" w:line="252" w:lineRule="auto"/>
              <w:jc w:val="center"/>
            </w:pPr>
            <w:r/>
            <w:r>
              <w:rPr>
                <w:b w:val="0"/>
                <w:color w:val="000000"/>
                <w:sz w:val="19"/>
              </w:rPr>
              <w:t>HELD；目前為 SAMPLE / SYNTHETIC</w:t>
            </w:r>
          </w:p>
        </w:tc>
      </w:tr>
      <w:tr>
        <w:tc>
          <w:tcPr>
            <w:tcW w:type="dxa" w:w="2933"/>
            <w:vAlign w:val="center"/>
            <w:tcMar>
              <w:top w:w="60" w:type="dxa"/>
              <w:start w:w="70" w:type="dxa"/>
              <w:bottom w:w="60" w:type="dxa"/>
              <w:end w:w="70" w:type="dxa"/>
            </w:tcMar>
          </w:tcPr>
          <w:p>
            <w:pPr>
              <w:spacing w:before="0" w:after="0" w:line="252" w:lineRule="auto"/>
              <w:jc w:val="center"/>
            </w:pPr>
            <w:r/>
            <w:r>
              <w:rPr>
                <w:b/>
                <w:color w:val="000000"/>
                <w:sz w:val="19"/>
              </w:rPr>
              <w:t>REP-0121-DIST-01</w:t>
            </w:r>
          </w:p>
        </w:tc>
        <w:tc>
          <w:tcPr>
            <w:tcW w:type="dxa" w:w="4106"/>
            <w:vAlign w:val="center"/>
            <w:tcMar>
              <w:top w:w="60" w:type="dxa"/>
              <w:start w:w="70" w:type="dxa"/>
              <w:bottom w:w="60" w:type="dxa"/>
              <w:end w:w="70" w:type="dxa"/>
            </w:tcMar>
          </w:tcPr>
          <w:p>
            <w:pPr>
              <w:spacing w:before="0" w:after="0" w:line="252" w:lineRule="auto"/>
              <w:jc w:val="center"/>
            </w:pPr>
            <w:r/>
            <w:r>
              <w:rPr>
                <w:b w:val="0"/>
                <w:color w:val="000000"/>
                <w:sz w:val="19"/>
              </w:rPr>
              <w:t>§9.2 分數選項分布表；來源為 T07 的 P01–P08 共 80 格</w:t>
            </w:r>
          </w:p>
        </w:tc>
        <w:tc>
          <w:tcPr>
            <w:tcW w:type="dxa" w:w="3226"/>
            <w:vAlign w:val="center"/>
            <w:tcMar>
              <w:top w:w="60" w:type="dxa"/>
              <w:start w:w="70" w:type="dxa"/>
              <w:bottom w:w="60" w:type="dxa"/>
              <w:end w:w="70" w:type="dxa"/>
            </w:tcMar>
          </w:tcPr>
          <w:p>
            <w:pPr>
              <w:spacing w:before="0" w:after="0" w:line="252" w:lineRule="auto"/>
              <w:jc w:val="center"/>
            </w:pPr>
            <w:r/>
            <w:r>
              <w:rPr>
                <w:b w:val="0"/>
                <w:color w:val="000000"/>
                <w:sz w:val="19"/>
              </w:rPr>
              <w:t>1至5分格數為 0、0、10、47、23；各占 0.00%、0.00%、12.50%、58.75%、28.75%；分母 80，合計 100.00%</w:t>
            </w:r>
          </w:p>
        </w:tc>
        <w:tc>
          <w:tcPr>
            <w:tcW w:type="dxa" w:w="2639"/>
            <w:vAlign w:val="center"/>
            <w:tcMar>
              <w:top w:w="60" w:type="dxa"/>
              <w:start w:w="70" w:type="dxa"/>
              <w:bottom w:w="60" w:type="dxa"/>
              <w:end w:w="70" w:type="dxa"/>
            </w:tcMar>
          </w:tcPr>
          <w:p>
            <w:pPr>
              <w:spacing w:before="0" w:after="0" w:line="252" w:lineRule="auto"/>
              <w:jc w:val="center"/>
            </w:pPr>
            <w:r/>
            <w:r>
              <w:rPr>
                <w:b w:val="0"/>
                <w:color w:val="000000"/>
                <w:sz w:val="19"/>
              </w:rPr>
              <w:t>經授權的原始問卷及可重現計算底稿；置換 REAL 後逐題重算五種分值次數及比例</w:t>
            </w:r>
          </w:p>
        </w:tc>
        <w:tc>
          <w:tcPr>
            <w:tcW w:type="dxa" w:w="2346"/>
            <w:vAlign w:val="center"/>
            <w:tcMar>
              <w:top w:w="60" w:type="dxa"/>
              <w:start w:w="70" w:type="dxa"/>
              <w:bottom w:w="60" w:type="dxa"/>
              <w:end w:w="70" w:type="dxa"/>
            </w:tcMar>
          </w:tcPr>
          <w:p>
            <w:pPr>
              <w:spacing w:before="0" w:after="0" w:line="252" w:lineRule="auto"/>
              <w:jc w:val="center"/>
            </w:pPr>
            <w:r/>
            <w:r>
              <w:rPr>
                <w:b w:val="0"/>
                <w:color w:val="000000"/>
                <w:sz w:val="19"/>
              </w:rPr>
              <w:t>HELD；目前為 SAMPLE / SYNTHETIC</w:t>
            </w:r>
          </w:p>
        </w:tc>
      </w:tr>
    </w:tbl>
    <w:p>
      <w:pPr>
        <w:spacing w:after="20"/>
      </w:pPr>
    </w:p>
    <w:p>
      <w:pPr>
        <w:pStyle w:val="Heading2"/>
      </w:pPr>
      <w:r>
        <w:rPr>
          <w:rFonts w:ascii="Microsoft JhengHei" w:hAnsi="Microsoft JhengHei" w:eastAsia="Microsoft JhengHei"/>
          <w:b w:val="0"/>
          <w:sz w:val="25"/>
        </w:rPr>
        <w:t>12.3 獨立審查與品質保證簽署欄（Quality Assurance &amp; Sign-off Fields）</w:t>
      </w:r>
    </w:p>
    <w:tbl>
      <w:tblPr>
        <w:tblW w:type="auto" w:w="0"/>
        <w:jc w:val="center"/>
        <w:tblLayout w:type="fixed"/>
        <w:tblLook w:firstColumn="1" w:firstRow="1" w:lastColumn="0" w:lastRow="0" w:noHBand="0" w:noVBand="1" w:val="04A0"/>
      </w:tblPr>
      <w:tblGrid>
        <w:gridCol w:w="5083"/>
        <w:gridCol w:w="5083"/>
        <w:gridCol w:w="5083"/>
      </w:tblGrid>
      <w:tr>
        <w:trPr>
          <w:cantSplit/>
          <w:tblHeader w:val="true"/>
        </w:trPr>
        <w:tc>
          <w:tcPr>
            <w:tcW w:type="dxa" w:w="4621"/>
            <w:vAlign w:val="top"/>
            <w:tcMar>
              <w:top w:w="20" w:type="dxa"/>
              <w:start w:w="65" w:type="dxa"/>
              <w:bottom w:w="20"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審查層級</w:t>
            </w:r>
          </w:p>
        </w:tc>
        <w:tc>
          <w:tcPr>
            <w:tcW w:type="dxa" w:w="4621"/>
            <w:vAlign w:val="top"/>
            <w:tcMar>
              <w:top w:w="20" w:type="dxa"/>
              <w:start w:w="65" w:type="dxa"/>
              <w:bottom w:w="20"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本候選狀態</w:t>
            </w:r>
          </w:p>
        </w:tc>
        <w:tc>
          <w:tcPr>
            <w:tcW w:type="dxa" w:w="6008"/>
            <w:vAlign w:val="top"/>
            <w:tcMar>
              <w:top w:w="20" w:type="dxa"/>
              <w:start w:w="65" w:type="dxa"/>
              <w:bottom w:w="20" w:type="dxa"/>
              <w:end w:w="65" w:type="dxa"/>
            </w:tcMar>
            <w:shd w:fill="17365D"/>
          </w:tcPr>
          <w:p>
            <w:pPr>
              <w:spacing w:after="0" w:before="0" w:line="240" w:lineRule="auto"/>
              <w:jc w:val="center"/>
            </w:pPr>
            <w:r>
              <w:rPr>
                <w:b/>
                <w:color w:val="FFFFFF"/>
              </w:rPr>
            </w:r>
            <w:r>
              <w:rPr>
                <w:rFonts w:ascii="Microsoft JhengHei" w:hAnsi="Microsoft JhengHei" w:eastAsia="Microsoft JhengHei"/>
                <w:b/>
                <w:color w:val="FFFFFF"/>
                <w:sz w:val="19"/>
              </w:rPr>
              <w:t>證據要求與界線</w:t>
            </w:r>
          </w:p>
        </w:tc>
      </w:tr>
      <w:tr>
        <w:trPr>
          <w:cantSplit/>
        </w:trPr>
        <w:tc>
          <w:tcPr>
            <w:tcW w:type="dxa" w:w="4621"/>
            <w:vAlign w:val="top"/>
            <w:tcMar>
              <w:top w:w="20" w:type="dxa"/>
              <w:start w:w="65" w:type="dxa"/>
              <w:bottom w:w="20" w:type="dxa"/>
              <w:end w:w="65" w:type="dxa"/>
            </w:tcMar>
          </w:tcPr>
          <w:p>
            <w:pPr>
              <w:spacing w:after="0" w:before="0" w:line="240" w:lineRule="auto"/>
              <w:jc w:val="left"/>
            </w:pPr>
            <w:r/>
            <w:r>
              <w:rPr>
                <w:rFonts w:ascii="Microsoft JhengHei" w:hAnsi="Microsoft JhengHei" w:eastAsia="Microsoft JhengHei"/>
                <w:b w:val="0"/>
                <w:sz w:val="19"/>
              </w:rPr>
              <w:t>本地技術與算術檢查</w:t>
            </w:r>
          </w:p>
        </w:tc>
        <w:tc>
          <w:tcPr>
            <w:tcW w:type="dxa" w:w="4621"/>
            <w:vAlign w:val="top"/>
            <w:tcMar>
              <w:top w:w="20" w:type="dxa"/>
              <w:start w:w="65" w:type="dxa"/>
              <w:bottom w:w="20" w:type="dxa"/>
              <w:end w:w="65" w:type="dxa"/>
            </w:tcMar>
          </w:tcPr>
          <w:p>
            <w:pPr>
              <w:spacing w:after="0" w:before="0" w:line="240" w:lineRule="auto"/>
              <w:jc w:val="left"/>
            </w:pPr>
            <w:r/>
            <w:r>
              <w:rPr>
                <w:rFonts w:ascii="Microsoft JhengHei" w:hAnsi="Microsoft JhengHei" w:eastAsia="Microsoft JhengHei"/>
                <w:b w:val="0"/>
                <w:sz w:val="19"/>
              </w:rPr>
              <w:t>依本機建置收據記錄；不等同獨立審查</w:t>
            </w:r>
          </w:p>
        </w:tc>
        <w:tc>
          <w:tcPr>
            <w:tcW w:type="dxa" w:w="6008"/>
            <w:vAlign w:val="top"/>
            <w:tcMar>
              <w:top w:w="20" w:type="dxa"/>
              <w:start w:w="65" w:type="dxa"/>
              <w:bottom w:w="20" w:type="dxa"/>
              <w:end w:w="65" w:type="dxa"/>
            </w:tcMar>
          </w:tcPr>
          <w:p>
            <w:pPr>
              <w:spacing w:after="0" w:before="0" w:line="240" w:lineRule="auto"/>
              <w:jc w:val="left"/>
            </w:pPr>
            <w:r/>
            <w:r>
              <w:rPr>
                <w:rFonts w:ascii="Microsoft JhengHei" w:hAnsi="Microsoft JhengHei" w:eastAsia="Microsoft JhengHei"/>
                <w:b w:val="0"/>
                <w:sz w:val="19"/>
              </w:rPr>
              <w:t>綁定最終 DOCX SHA，列明實際範圍</w:t>
            </w:r>
          </w:p>
        </w:tc>
      </w:tr>
      <w:tr>
        <w:trPr>
          <w:cantSplit/>
        </w:trPr>
        <w:tc>
          <w:tcPr>
            <w:tcW w:type="dxa" w:w="4621"/>
            <w:vAlign w:val="top"/>
            <w:tcMar>
              <w:top w:w="20" w:type="dxa"/>
              <w:start w:w="65" w:type="dxa"/>
              <w:bottom w:w="20" w:type="dxa"/>
              <w:end w:w="65" w:type="dxa"/>
            </w:tcMar>
            <w:shd w:fill="F1F5F9"/>
          </w:tcPr>
          <w:p>
            <w:pPr>
              <w:spacing w:after="0" w:before="0" w:line="240" w:lineRule="auto"/>
              <w:jc w:val="left"/>
            </w:pPr>
            <w:r/>
            <w:r>
              <w:rPr>
                <w:rFonts w:ascii="Microsoft JhengHei" w:hAnsi="Microsoft JhengHei" w:eastAsia="Microsoft JhengHei"/>
                <w:b w:val="0"/>
                <w:sz w:val="19"/>
              </w:rPr>
              <w:t>獨立語意審查</w:t>
            </w:r>
          </w:p>
        </w:tc>
        <w:tc>
          <w:tcPr>
            <w:tcW w:type="dxa" w:w="4621"/>
            <w:vAlign w:val="top"/>
            <w:tcMar>
              <w:top w:w="20" w:type="dxa"/>
              <w:start w:w="65" w:type="dxa"/>
              <w:bottom w:w="20" w:type="dxa"/>
              <w:end w:w="65" w:type="dxa"/>
            </w:tcMar>
            <w:shd w:fill="F1F5F9"/>
          </w:tcPr>
          <w:p>
            <w:pPr>
              <w:spacing w:after="0" w:before="0" w:line="240" w:lineRule="auto"/>
              <w:jc w:val="left"/>
            </w:pPr>
            <w:r>
              <w:t>以 sidecar 中綁定最終 DOCX exact SHA 的獨立語意審查收據為準；正文不預填審查人簽名或 PASS。</w:t>
            </w:r>
          </w:p>
        </w:tc>
        <w:tc>
          <w:tcPr>
            <w:tcW w:type="dxa" w:w="6008"/>
            <w:vAlign w:val="top"/>
            <w:tcMar>
              <w:top w:w="20" w:type="dxa"/>
              <w:start w:w="65" w:type="dxa"/>
              <w:bottom w:w="20" w:type="dxa"/>
              <w:end w:w="65" w:type="dxa"/>
            </w:tcMar>
            <w:shd w:fill="F1F5F9"/>
          </w:tcPr>
          <w:p>
            <w:pPr>
              <w:spacing w:after="0" w:before="0" w:line="240" w:lineRule="auto"/>
              <w:jc w:val="left"/>
            </w:pPr>
            <w:r/>
            <w:r>
              <w:rPr>
                <w:rFonts w:ascii="Microsoft JhengHei" w:hAnsi="Microsoft JhengHei" w:eastAsia="Microsoft JhengHei"/>
                <w:b w:val="0"/>
                <w:sz w:val="19"/>
              </w:rPr>
              <w:t>審查者直接閱讀最終 exact SHA，回覆正文定位及 PASS／PARTIAL／FAIL</w:t>
            </w:r>
          </w:p>
        </w:tc>
      </w:tr>
      <w:tr>
        <w:trPr>
          <w:cantSplit/>
        </w:trPr>
        <w:tc>
          <w:tcPr>
            <w:tcW w:type="dxa" w:w="4621"/>
            <w:vAlign w:val="top"/>
            <w:tcMar>
              <w:top w:w="20" w:type="dxa"/>
              <w:start w:w="65" w:type="dxa"/>
              <w:bottom w:w="20" w:type="dxa"/>
              <w:end w:w="65" w:type="dxa"/>
            </w:tcMar>
          </w:tcPr>
          <w:p>
            <w:pPr>
              <w:spacing w:after="0" w:before="0" w:line="240" w:lineRule="auto"/>
              <w:jc w:val="left"/>
            </w:pPr>
            <w:r/>
            <w:r>
              <w:rPr>
                <w:rFonts w:ascii="Microsoft JhengHei" w:hAnsi="Microsoft JhengHei" w:eastAsia="Microsoft JhengHei"/>
                <w:b w:val="0"/>
                <w:sz w:val="19"/>
              </w:rPr>
              <w:t>協會正式接受／核准</w:t>
            </w:r>
          </w:p>
        </w:tc>
        <w:tc>
          <w:tcPr>
            <w:tcW w:type="dxa" w:w="4621"/>
            <w:vAlign w:val="top"/>
            <w:tcMar>
              <w:top w:w="20" w:type="dxa"/>
              <w:start w:w="65" w:type="dxa"/>
              <w:bottom w:w="20" w:type="dxa"/>
              <w:end w:w="65" w:type="dxa"/>
            </w:tcMar>
          </w:tcPr>
          <w:p>
            <w:pPr>
              <w:spacing w:after="0" w:before="0" w:line="240" w:lineRule="auto"/>
              <w:jc w:val="left"/>
            </w:pPr>
            <w:r/>
            <w:r>
              <w:rPr>
                <w:rFonts w:ascii="Microsoft JhengHei" w:hAnsi="Microsoft JhengHei" w:eastAsia="Microsoft JhengHei"/>
                <w:b w:val="0"/>
                <w:sz w:val="19"/>
              </w:rPr>
              <w:t>NOT_GRANTED</w:t>
            </w:r>
          </w:p>
        </w:tc>
        <w:tc>
          <w:tcPr>
            <w:tcW w:type="dxa" w:w="6008"/>
            <w:vAlign w:val="top"/>
            <w:tcMar>
              <w:top w:w="20" w:type="dxa"/>
              <w:start w:w="65" w:type="dxa"/>
              <w:bottom w:w="20" w:type="dxa"/>
              <w:end w:w="65" w:type="dxa"/>
            </w:tcMar>
          </w:tcPr>
          <w:p>
            <w:pPr>
              <w:spacing w:after="0" w:before="0" w:line="240" w:lineRule="auto"/>
              <w:jc w:val="left"/>
            </w:pPr>
            <w:r/>
            <w:r>
              <w:rPr>
                <w:rFonts w:ascii="Microsoft JhengHei" w:hAnsi="Microsoft JhengHei" w:eastAsia="Microsoft JhengHei"/>
                <w:b w:val="0"/>
                <w:sz w:val="19"/>
              </w:rPr>
              <w:t>僅由實際授權人依正式程序決定；不預填人名、簽名或日期</w:t>
            </w:r>
          </w:p>
        </w:tc>
      </w:tr>
      <w:tr>
        <w:trPr>
          <w:cantSplit/>
        </w:trPr>
        <w:tc>
          <w:tcPr>
            <w:tcW w:type="dxa" w:w="4621"/>
            <w:vAlign w:val="top"/>
            <w:tcMar>
              <w:top w:w="20" w:type="dxa"/>
              <w:start w:w="65" w:type="dxa"/>
              <w:bottom w:w="20" w:type="dxa"/>
              <w:end w:w="65" w:type="dxa"/>
            </w:tcMar>
            <w:shd w:fill="F1F5F9"/>
          </w:tcPr>
          <w:p>
            <w:pPr>
              <w:spacing w:after="0" w:before="0" w:line="240" w:lineRule="auto"/>
              <w:jc w:val="left"/>
            </w:pPr>
            <w:r/>
            <w:r>
              <w:rPr>
                <w:rFonts w:ascii="Microsoft JhengHei" w:hAnsi="Microsoft JhengHei" w:eastAsia="Microsoft JhengHei"/>
                <w:b w:val="0"/>
                <w:sz w:val="19"/>
              </w:rPr>
              <w:t>真實證據狀態</w:t>
            </w:r>
          </w:p>
        </w:tc>
        <w:tc>
          <w:tcPr>
            <w:tcW w:type="dxa" w:w="4621"/>
            <w:vAlign w:val="top"/>
            <w:tcMar>
              <w:top w:w="20" w:type="dxa"/>
              <w:start w:w="65" w:type="dxa"/>
              <w:bottom w:w="20" w:type="dxa"/>
              <w:end w:w="65" w:type="dxa"/>
            </w:tcMar>
            <w:shd w:fill="F1F5F9"/>
          </w:tcPr>
          <w:p>
            <w:pPr>
              <w:spacing w:after="0" w:before="0" w:line="240" w:lineRule="auto"/>
              <w:jc w:val="left"/>
            </w:pPr>
            <w:r/>
            <w:r>
              <w:rPr>
                <w:rFonts w:ascii="Microsoft JhengHei" w:hAnsi="Microsoft JhengHei" w:eastAsia="Microsoft JhengHei"/>
                <w:b w:val="0"/>
                <w:sz w:val="19"/>
              </w:rPr>
              <w:t>NOT PROVIDED</w:t>
            </w:r>
          </w:p>
        </w:tc>
        <w:tc>
          <w:tcPr>
            <w:tcW w:type="dxa" w:w="6008"/>
            <w:vAlign w:val="top"/>
            <w:tcMar>
              <w:top w:w="20" w:type="dxa"/>
              <w:start w:w="65" w:type="dxa"/>
              <w:bottom w:w="20" w:type="dxa"/>
              <w:end w:w="65" w:type="dxa"/>
            </w:tcMar>
            <w:shd w:fill="F1F5F9"/>
          </w:tcPr>
          <w:p>
            <w:pPr>
              <w:spacing w:after="0" w:before="0" w:line="240" w:lineRule="auto"/>
              <w:jc w:val="left"/>
            </w:pPr>
            <w:r/>
            <w:r>
              <w:rPr>
                <w:rFonts w:ascii="Microsoft JhengHei" w:hAnsi="Microsoft JhengHei" w:eastAsia="Microsoft JhengHei"/>
                <w:b w:val="0"/>
                <w:sz w:val="19"/>
              </w:rPr>
              <w:t>取得並驗證授權原件前，僅為 SAMPLE／SYNTHETIC 候選</w:t>
            </w:r>
          </w:p>
        </w:tc>
      </w:tr>
    </w:tbl>
    <w:p>
      <w:pPr>
        <w:spacing w:before="0" w:after="0" w:line="20" w:lineRule="exact"/>
      </w:pPr>
      <w:r>
        <w:rPr>
          <w:rFonts w:ascii="Microsoft JhengHei" w:hAnsi="Microsoft JhengHei" w:eastAsia="Microsoft JhengHei"/>
          <w:sz w:val="2"/>
        </w:rPr>
      </w:r>
    </w:p>
    <w:sectPr w:rsidR="00FC693F" w:rsidRPr="0006063C" w:rsidSect="00034616">
      <w:headerReference w:type="default" r:id="rId9"/>
      <w:footerReference w:type="default" r:id="rId10"/>
      <w:pgSz w:w="16834" w:h="11909" w:orient="landscape"/>
      <w:pgMar w:top="749" w:right="792" w:bottom="691"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olor w:val="667788"/>
        <w:sz w:val="16"/>
      </w:rPr>
      <w:t xml:space="preserve">候選演練文件  |  未獲協會正式接受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b/>
        <w:color w:val="A33B2B"/>
        <w:sz w:val="17"/>
      </w:rPr>
      <w:t>SAMPLE / SYNTHETIC  •  DOC_ID 0121  •  I19-E09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Microsoft JhengHei" w:hAnsi="Microsoft JhengHei" w:eastAsia="Microsoft Jheng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Microsoft JhengHei" w:hAnsi="Microsoft JhengHei" w:eastAsia="Microsoft JhengHe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Microsoft JhengHei" w:hAnsi="Microsoft JhengHei" w:eastAsia="Microsoft JhengHei"/>
      <w:b/>
      <w:bCs/>
      <w:color w:val="176B87"/>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JhengHei" w:hAnsi="Microsoft JhengHei" w:eastAsia="Microsoft JhengHei"/>
      <w:b/>
      <w:bCs/>
      <w:color w:val="30549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160"/>
      <w:contextualSpacing/>
    </w:pPr>
    <w:rPr>
      <w:rFonts w:asciiTheme="majorHAnsi" w:eastAsiaTheme="majorEastAsia" w:hAnsiTheme="majorHAnsi" w:cstheme="majorBidi" w:ascii="Microsoft JhengHei" w:hAnsi="Microsoft JhengHei" w:eastAsia="Microsoft JhengHe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學員滿意度與學習評量報告</dc:title>
  <dc:subject>TTQS ONE 0121 / I19-E09 SAMPLE-SYNTHETIC candidate</dc:subject>
  <dc:creator>TTQS ONE candidate</dc:creator>
  <cp:keywords/>
  <dc:description>All examples are synthetic; formal acceptance not granted.</dc:description>
  <cp:lastModifiedBy/>
  <cp:revision>1</cp:revision>
  <dcterms:created xsi:type="dcterms:W3CDTF">2013-12-23T23:15:00Z</dcterms:created>
  <dcterms:modified xsi:type="dcterms:W3CDTF">2013-12-23T23:15:00Z</dcterms:modified>
  <cp:category/>
</cp:coreProperties>
</file>