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R06（Word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發布前硬條件：</w:t>
      </w:r>
      <w:r>
        <w:rPr>
          <w:rFonts w:ascii="Microsoft JhengHei" w:hAnsi="Microsoft JhengHei" w:eastAsia="Microsoft JhengHei" w:cs="Microsoft JhengHei"/>
          <w:sz w:val="22"/>
        </w:rPr>
        <w:t xml:space="preserve"> 真實核准版本、實際可用的報名通路、已確認日期和資源，以及有時間與版本可讀回的公開頁面證據，均須齊備。只要其中一項缺失，狀態維持 HOLD。SAMPLE 工作簿不能單獨證明任何一項真實發布條件。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年度範圍句；§6.2–§6.5 表7–表10「日期與時段」欄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表7–表10「課程代碼」列 SYN-C01 至 SYN-C04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示範完整度，35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報名通路欄缺失；示例缺陷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示例處置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示例完整度，36 ÷ 36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示例欄位完整判定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R06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