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R11（Word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發布前：</w:t>
      </w:r>
      <w:r>
        <w:rPr>
          <w:rFonts w:ascii="Microsoft JhengHei" w:hAnsi="Microsoft JhengHei" w:eastAsia="Microsoft JhengHei" w:cs="Microsoft JhengHei"/>
          <w:sz w:val="22"/>
        </w:rPr>
        <w:t>真實課程來源、權責核准版本、日期與資源均已核實，報名通路可用且擬發布內容符合核准版；任一欠缺即 HOLD，SAMPLE 不代表真實發布。公開頁面讀回屬發布後驗收，不列為發布前條件。上架後由非編輯者讀回頁面，核對網址、時間、版本及內容與核准件一致並留證；失敗或不一致即 HOLD，依權責下架或更正，重新核准後再發布。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§6.2–§6.5 表7–10「日期與時段」欄（2027 年 SAMPLE）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§6.1（示例課程共4門）；§6.2–§6.5 表7–10（SYN-C01–C04）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有值欄位數，35/36 為欄位填入率分子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欄位填入率，35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報名通路缺值；R-A/R-B 已核實可用通路 0/4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缺少一項關鍵欄位，且無已核實可用通路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有值欄位數；四個 .invalid 通路不計為可用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欄位填入率，36 ÷ 36；不代表通路可用或核准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欄位有值狀態，不表示可發布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R11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0013 I02-E04 年度訓練課程公開清單 R11 候選 SAMPLE SYNTHETIC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