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center"/>
      </w:pPr>
      <w:r>
        <w:rPr>
          <w:rFonts w:ascii="Microsoft JhengHei" w:hAnsi="Microsoft JhengHei" w:eastAsia="Microsoft JhengHei"/>
          <w:b/>
          <w:color w:val="000000"/>
          <w:sz w:val="42"/>
        </w:rPr>
        <w:t>訓練需求調查規劃與課程目標配適計畫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0F6B78"/>
          <w:sz w:val="24"/>
        </w:rPr>
        <w:t>客戶需求 × 受訓者需求 × 工作職能需求</w:t>
      </w:r>
    </w:p>
    <w:p>
      <w:pPr>
        <w:keepLines/>
        <w:spacing w:before="80" w:after="140"/>
      </w:pPr>
      <w:r>
        <w:rPr>
          <w:rFonts w:ascii="Microsoft JhengHei" w:hAnsi="Microsoft JhengHei" w:eastAsia="Microsoft JhengHei"/>
          <w:b/>
          <w:color w:val="17365D"/>
          <w:sz w:val="21"/>
        </w:rPr>
        <w:t>完整示範資料｜SAMPLE / SYNTHETIC。本文提供可直接採用的調查規劃、問卷、訪談指引、需求判讀及課程目標映射；案例、日期、角色、答案、分數與方案選擇均屬虛構，不表示協會已調查、開課、核准或取得成果。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30秒閱讀與使用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816"/>
        <w:gridCol w:w="4147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816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直接看哪裡</w:t>
            </w:r>
          </w:p>
        </w:tc>
        <w:tc>
          <w:tcPr>
            <w:tcW w:type="dxa" w:w="4147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實際輸出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規劃調查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第4–6節：來源分層、有效規則、完整問卷及訪談指引</w:t>
            </w:r>
          </w:p>
        </w:tc>
        <w:tc>
          <w:tcPr>
            <w:tcW w:type="dxa" w:w="4147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可發放問卷、匿名回收清冊、訪談紀要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形成課程方向</w:t>
            </w:r>
          </w:p>
        </w:tc>
        <w:tc>
          <w:tcPr>
            <w:tcW w:type="dxa" w:w="381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第7–10節：合成原始數據、公式、方案比較、課程目標</w:t>
            </w:r>
          </w:p>
        </w:tc>
        <w:tc>
          <w:tcPr>
            <w:tcW w:type="dxa" w:w="4147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需求—職能—目標—評量的追溯紀錄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正式替換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第14–15節及替換清冊</w:t>
            </w:r>
          </w:p>
        </w:tc>
        <w:tc>
          <w:tcPr>
            <w:tcW w:type="dxa" w:w="4147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以真實授權、需求來源和回收資料替換示範值</w:t>
            </w:r>
          </w:p>
        </w:tc>
      </w:tr>
    </w:tbl>
    <w:p>
      <w:pPr>
        <w:spacing w:after="20"/>
      </w:pP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讀者：負責課程規劃的理監事、主管與執行志工。使用時點：提出新課、年度更新或需求明顯改變時。本文規劃需求調查與課程目標，不評估機構人員辦訓能力，也不代替個別學員職能盤點。</w:t>
      </w: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5B6573"/>
          <w:sz w:val="21"/>
        </w:rPr>
        <w:t>官方對照：訓練機構版《TTQS 查核佐證文件資料表》第2頁，指標7「訓練需求相關的職能分析及應用」，佐證項目為「訓練課程計畫配合客戶及受訓者需求、職能需求的調查規劃的證明。」</w:t>
      </w:r>
    </w:p>
    <w:p>
      <w:pPr>
        <w:pStyle w:val="Heading1"/>
        <w:pageBreakBefore w:val="0"/>
      </w:pPr>
      <w:r>
        <w:rPr>
          <w:rFonts w:ascii="Microsoft JhengHei" w:hAnsi="Microsoft JhengHei" w:eastAsia="Microsoft JhengHei"/>
          <w:b/>
          <w:color w:val="17365D"/>
          <w:sz w:val="30"/>
        </w:rPr>
        <w:t>一、文件命題與鄰項界線</w:t>
      </w: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本計畫把「誰需要什麼訓練、在哪個任務情境使用、需要哪些可觀察能力、課程如何回應」串成可檢查路徑。客戶要求、受訓者學習障礙、任務職能及機構資源分開記錄；任何一方資料不足，都標示限制，不寫成共同共識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表1｜本件證明的工作與不代替的工作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3715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工作物</w:t>
            </w:r>
          </w:p>
        </w:tc>
        <w:tc>
          <w:tcPr>
            <w:tcW w:type="dxa" w:w="3816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本件要留下的證據</w:t>
            </w:r>
          </w:p>
        </w:tc>
        <w:tc>
          <w:tcPr>
            <w:tcW w:type="dxa" w:w="3715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不能混為一談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0033／I07-E01 調查規劃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三類需求來源的採集、分類、優先順序、課程目標映射及檢討。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不能只有空問卷；須有完整示例和決策理由。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0032／I06-E03 辦訓能力</w:t>
            </w:r>
          </w:p>
        </w:tc>
        <w:tc>
          <w:tcPr>
            <w:tcW w:type="dxa" w:w="381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機構如何分工、具備流程能力及備援。</w:t>
            </w:r>
          </w:p>
        </w:tc>
        <w:tc>
          <w:tcPr>
            <w:tcW w:type="dxa" w:w="371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本件不評分機構人員或志工能力。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0034／I07-E02 個人職能盤點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個別人員量規、評分及落差。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本件自評僅作課程規劃訊號，不作個人職能診斷。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rPr>
          <w:rFonts w:ascii="Microsoft JhengHei" w:hAnsi="Microsoft JhengHei" w:eastAsia="Microsoft JhengHei"/>
          <w:b/>
          <w:color w:val="17365D"/>
          <w:sz w:val="30"/>
        </w:rPr>
        <w:t>二、來源現況與示範邊界</w:t>
      </w: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可核實的是官方佐證要求及協會法定名稱；目前沒有可核實的現期課程、委託需求、受訓者、現職分工或調查原件。因此協會實際活動、課程、參與者與結果均標 UNKNOWN；正文的需求、數字和方案是完整合成示例。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表2｜來源狀態及可支持範圍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1800"/>
        <w:gridCol w:w="3240"/>
        <w:gridCol w:w="2563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來源／定位</w:t>
            </w:r>
          </w:p>
        </w:tc>
        <w:tc>
          <w:tcPr>
            <w:tcW w:type="dxa" w:w="1800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3240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可以支持</w:t>
            </w:r>
          </w:p>
        </w:tc>
        <w:tc>
          <w:tcPr>
            <w:tcW w:type="dxa" w:w="2563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不能支持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官方佐證表，第2頁，指標7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REAL／官方原件比對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「訓練課程計畫配合客戶及受訓者需求、職能需求的調查規劃的證明。」</w:t>
            </w:r>
          </w:p>
        </w:tc>
        <w:tc>
          <w:tcPr>
            <w:tcW w:type="dxa" w:w="256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不證明協會已有調查或成果。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司法院法人登記公告，113年度法登他字第000069號；2024-06-24公告</w:t>
            </w:r>
          </w:p>
        </w:tc>
        <w:tc>
          <w:tcPr>
            <w:tcW w:type="dxa" w:w="180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REAL／2026-10-05讀回</w:t>
            </w:r>
          </w:p>
        </w:tc>
        <w:tc>
          <w:tcPr>
            <w:tcW w:type="dxa" w:w="324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法定名稱「社團法人屏東縣原始點關懷協會」。</w:t>
            </w:r>
          </w:p>
        </w:tc>
        <w:tc>
          <w:tcPr>
            <w:tcW w:type="dxa" w:w="256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不證明現行課程、人員、活動、授權或示範已核定。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2026-10-05協會訓練品質手冊（志工作業版）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HISTORICAL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小型志工團隊、少量表單及交接的可讀性背景。</w:t>
            </w:r>
          </w:p>
        </w:tc>
        <w:tc>
          <w:tcPr>
            <w:tcW w:type="dxa" w:w="256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歷史現況敘述不提升為今天的LIVE事實。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本文件調查、日期、答案、分數及方案</w:t>
            </w:r>
          </w:p>
        </w:tc>
        <w:tc>
          <w:tcPr>
            <w:tcW w:type="dxa" w:w="180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SAMPLE / SYNTHETIC</w:t>
            </w:r>
          </w:p>
        </w:tc>
        <w:tc>
          <w:tcPr>
            <w:tcW w:type="dxa" w:w="324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展示由需求資料形成課程規劃。</w:t>
            </w:r>
          </w:p>
        </w:tc>
        <w:tc>
          <w:tcPr>
            <w:tcW w:type="dxa" w:w="256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不可作協會實際調查、決議、開課或成效證明。</w:t>
            </w:r>
          </w:p>
        </w:tc>
      </w:tr>
    </w:tbl>
    <w:p>
      <w:pPr>
        <w:spacing w:after="20"/>
      </w:pP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正式執行前，核對現行章程及授權者、服務對象、課程方向、可用人力、場地和資料保存方式。找不到原件就標示待取得來源，不以合成答案代填。</w:t>
      </w:r>
    </w:p>
    <w:p>
      <w:pPr>
        <w:pStyle w:val="Heading1"/>
        <w:pageBreakBefore w:val="0"/>
      </w:pPr>
      <w:r>
        <w:rPr>
          <w:rFonts w:ascii="Microsoft JhengHei" w:hAnsi="Microsoft JhengHei" w:eastAsia="Microsoft JhengHei"/>
          <w:b/>
          <w:color w:val="17365D"/>
          <w:sz w:val="30"/>
        </w:rPr>
        <w:t>三、需求到課程的決策路徑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表3｜需求—課程—評量因果鏈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477"/>
        <w:gridCol w:w="3528"/>
        <w:gridCol w:w="2750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477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要回答的問題</w:t>
            </w:r>
          </w:p>
        </w:tc>
        <w:tc>
          <w:tcPr>
            <w:tcW w:type="dxa" w:w="3528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</w:t>
            </w:r>
          </w:p>
        </w:tc>
        <w:tc>
          <w:tcPr>
            <w:tcW w:type="dxa" w:w="2750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決策輸出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1 需求來源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誰提出需求？客戶、受訓者、任務角色各說了什麼？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匿名問卷、訪談、可查任務規範。</w:t>
            </w:r>
          </w:p>
        </w:tc>
        <w:tc>
          <w:tcPr>
            <w:tcW w:type="dxa" w:w="275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來源與限制。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 任務情境</w:t>
            </w:r>
          </w:p>
        </w:tc>
        <w:tc>
          <w:tcPr>
            <w:tcW w:type="dxa" w:w="2477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哪項工作會用到？困難發生在哪一步？</w:t>
            </w:r>
          </w:p>
        </w:tc>
        <w:tc>
          <w:tcPr>
            <w:tcW w:type="dxa" w:w="352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情境代碼、頻率、去識別摘錄。</w:t>
            </w:r>
          </w:p>
        </w:tc>
        <w:tc>
          <w:tcPr>
            <w:tcW w:type="dxa" w:w="275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可觀察任務。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 能力需求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完成任務要做什麼？重要度和自評差距如何？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量尺定義、有效N、分組結果。</w:t>
            </w:r>
          </w:p>
        </w:tc>
        <w:tc>
          <w:tcPr>
            <w:tcW w:type="dxa" w:w="275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優先能力與待查項。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 課程目標</w:t>
            </w:r>
          </w:p>
        </w:tc>
        <w:tc>
          <w:tcPr>
            <w:tcW w:type="dxa" w:w="2477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學完後能展示什麼行為？</w:t>
            </w:r>
          </w:p>
        </w:tc>
        <w:tc>
          <w:tcPr>
            <w:tcW w:type="dxa" w:w="352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行為、情境、判準、評量作品。</w:t>
            </w:r>
          </w:p>
        </w:tc>
        <w:tc>
          <w:tcPr>
            <w:tcW w:type="dxa" w:w="275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單元及評量方案。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 檢討決策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選擇、延後或不辦的理由？何時重看？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方案比較、資源、風險、修訂紀錄。</w:t>
            </w:r>
          </w:p>
        </w:tc>
        <w:tc>
          <w:tcPr>
            <w:tcW w:type="dxa" w:w="275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擬議方案；授權另核。</w:t>
            </w:r>
          </w:p>
        </w:tc>
      </w:tr>
    </w:tbl>
    <w:p>
      <w:pPr>
        <w:spacing w:after="20"/>
      </w:pP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資料不足時分流處理：缺任一來源就補問；有需求但職能證據不足則另規劃個人職能盤點；資源或權限未確認時，方案保持待核，不宣稱已開課或已批准。</w:t>
      </w:r>
    </w:p>
    <w:p>
      <w:pPr>
        <w:pStyle w:val="Heading1"/>
        <w:pageBreakBefore w:val="0"/>
      </w:pPr>
      <w:r>
        <w:rPr>
          <w:rFonts w:ascii="Microsoft JhengHei" w:hAnsi="Microsoft JhengHei" w:eastAsia="Microsoft JhengHei"/>
          <w:b/>
          <w:color w:val="17365D"/>
          <w:sz w:val="30"/>
        </w:rPr>
        <w:t>四、調查設計與操作規則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表4｜調查工作表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464"/>
        <w:gridCol w:w="1613"/>
        <w:gridCol w:w="2275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4464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1613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建議角色</w:t>
            </w:r>
          </w:p>
        </w:tc>
        <w:tc>
          <w:tcPr>
            <w:tcW w:type="dxa" w:w="2275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完成條件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定義問題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每一新課程或重大改版建一批次，寫清要決定的課程事項。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規劃召集角色</w:t>
            </w:r>
          </w:p>
        </w:tc>
        <w:tc>
          <w:tcPr>
            <w:tcW w:type="dxa" w:w="227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能用一句話說明決策問題。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來源分層</w:t>
            </w:r>
          </w:p>
        </w:tc>
        <w:tc>
          <w:tcPr>
            <w:tcW w:type="dxa" w:w="446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分列合作窗口、預定受訓者、任務角色；分開邀請、回收、有效數。</w:t>
            </w:r>
          </w:p>
        </w:tc>
        <w:tc>
          <w:tcPr>
            <w:tcW w:type="dxa" w:w="161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調查承辦角色</w:t>
            </w:r>
          </w:p>
        </w:tc>
        <w:tc>
          <w:tcPr>
            <w:tcW w:type="dxa" w:w="227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三類皆有邀請機會；不足類別明列。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題目試讀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請熟悉作業者及非專業讀者試讀；不收敏感資料。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第二位核對者</w:t>
            </w:r>
          </w:p>
        </w:tc>
        <w:tc>
          <w:tcPr>
            <w:tcW w:type="dxa" w:w="227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題意清楚、不誘導、不越服務界線。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發放告知</w:t>
            </w:r>
          </w:p>
        </w:tc>
        <w:tc>
          <w:tcPr>
            <w:tcW w:type="dxa" w:w="446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說明自願、用途、匿名化、保存及退出；不用姓名電話或健康史。</w:t>
            </w:r>
          </w:p>
        </w:tc>
        <w:tc>
          <w:tcPr>
            <w:tcW w:type="dxa" w:w="161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調查承辦角色</w:t>
            </w:r>
          </w:p>
        </w:tc>
        <w:tc>
          <w:tcPr>
            <w:tcW w:type="dxa" w:w="227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告知與實際欄位一致。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回收清理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分開記邀請、回收、有效；留去識別排除原因。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資料整理角色</w:t>
            </w:r>
          </w:p>
        </w:tc>
        <w:tc>
          <w:tcPr>
            <w:tcW w:type="dxa" w:w="227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分子分母可重算。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分析映射</w:t>
            </w:r>
          </w:p>
        </w:tc>
        <w:tc>
          <w:tcPr>
            <w:tcW w:type="dxa" w:w="446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按來源和能力列有效N、重要度、自評、差距及限制。</w:t>
            </w:r>
          </w:p>
        </w:tc>
        <w:tc>
          <w:tcPr>
            <w:tcW w:type="dxa" w:w="161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課程規劃角色</w:t>
            </w:r>
          </w:p>
        </w:tc>
        <w:tc>
          <w:tcPr>
            <w:tcW w:type="dxa" w:w="227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每個目標能回指來源與定位。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檢討授權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比較方案、資源、風險和未採方案；正式決定依章程。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真實授權者待核</w:t>
            </w:r>
          </w:p>
        </w:tc>
        <w:tc>
          <w:tcPr>
            <w:tcW w:type="dxa" w:w="227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示範判定不冒充正式核准。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rPr>
          <w:rFonts w:ascii="Microsoft JhengHei" w:hAnsi="Microsoft JhengHei" w:eastAsia="Microsoft JhengHei"/>
          <w:b/>
          <w:color w:val="17365D"/>
          <w:sz w:val="30"/>
        </w:rPr>
        <w:t>五、可直接發放的18題需求問卷</w:t>
      </w: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作答說明：按實際接觸回答；可跳過不適用題；不要填姓名、身分證字號、電話、健康資料、薪資或未授權第三方資訊。空值不補0。這份問卷作課程需求規劃，不作個人考核。</w:t>
      </w: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5B6573"/>
          <w:sz w:val="21"/>
        </w:rPr>
        <w:t>重要度量尺：1目前不重要、2較低、3中等、4重要、5非常重要。自評把握度：1尚無把握、2較少、3部分、4大致、5能穩定示範；無經驗另選，不列入平均。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表5｜完整問卷題目與選項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3384"/>
        <w:gridCol w:w="5803"/>
      </w:tblGrid>
      <w:tr>
        <w:trPr>
          <w:tblHeader w:val="true"/>
          <w:cantSplit/>
        </w:trPr>
        <w:tc>
          <w:tcPr>
            <w:tcW w:type="dxa" w:w="720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3384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問題</w:t>
            </w:r>
          </w:p>
        </w:tc>
        <w:tc>
          <w:tcPr>
            <w:tcW w:type="dxa" w:w="5803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選項／作答方式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Q01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你較接近哪種需求來源？單選</w:t>
            </w:r>
          </w:p>
        </w:tc>
        <w:tc>
          <w:tcPr>
            <w:tcW w:type="dxa" w:w="580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合作窗口；預定受訓者；任務角色代表；其他；不願回答。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Q02</w:t>
            </w:r>
          </w:p>
        </w:tc>
        <w:tc>
          <w:tcPr>
            <w:tcW w:type="dxa" w:w="33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你接觸哪些情境？可複選</w:t>
            </w:r>
          </w:p>
        </w:tc>
        <w:tc>
          <w:tcPr>
            <w:tcW w:type="dxa" w:w="580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需求確認；服務範圍說明；活動流程；安全提醒；紀錄交接；尚未接觸。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Q03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本次希望調查決定什麼？最多2項</w:t>
            </w:r>
          </w:p>
        </w:tc>
        <w:tc>
          <w:tcPr>
            <w:tcW w:type="dxa" w:w="580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是否開課；優先單元；學習方式；對象及先備條件；評量方式；不確定。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Q04</w:t>
            </w:r>
          </w:p>
        </w:tc>
        <w:tc>
          <w:tcPr>
            <w:tcW w:type="dxa" w:w="33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四項能力的重要度？每項1–5</w:t>
            </w:r>
          </w:p>
        </w:tc>
        <w:tc>
          <w:tcPr>
            <w:tcW w:type="dxa" w:w="580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能力甲工作界線與轉介；能力乙尊重溝通；能力丙活動流程安全；能力丁紀錄與交接。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Q05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四項能力目前把握度？每項1–5或無經驗</w:t>
            </w:r>
          </w:p>
        </w:tc>
        <w:tc>
          <w:tcPr>
            <w:tcW w:type="dxa" w:w="580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同一能力清單；無經驗不填0；自評不等於實作能力。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Q06</w:t>
            </w:r>
          </w:p>
        </w:tc>
        <w:tc>
          <w:tcPr>
            <w:tcW w:type="dxa" w:w="33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相關任務接觸頻率？單選</w:t>
            </w:r>
          </w:p>
        </w:tc>
        <w:tc>
          <w:tcPr>
            <w:tcW w:type="dxa" w:w="580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每週；每月1–3次；每季1–2次；偶爾；尚未接觸。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Q07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最需要改善哪種情境？最多2項</w:t>
            </w:r>
          </w:p>
        </w:tc>
        <w:tc>
          <w:tcPr>
            <w:tcW w:type="dxa" w:w="580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不確定責任者；需求交接遺漏；說明服務範圍困難；流程不清；紀錄過多／過少；其他。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Q08</w:t>
            </w:r>
          </w:p>
        </w:tc>
        <w:tc>
          <w:tcPr>
            <w:tcW w:type="dxa" w:w="33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希望課後能做什麼？最多2項</w:t>
            </w:r>
          </w:p>
        </w:tc>
        <w:tc>
          <w:tcPr>
            <w:tcW w:type="dxa" w:w="580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說明工作界線；確認下一步；按清單檢查活動；完成最小必要紀錄；交接未結事項。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Q09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何種學習證據可接受？最多2項</w:t>
            </w:r>
          </w:p>
        </w:tc>
        <w:tc>
          <w:tcPr>
            <w:tcW w:type="dxa" w:w="580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情境演練；示範表單；口頭說明；步驟檢核；匿名案例。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Q10</w:t>
            </w:r>
          </w:p>
        </w:tc>
        <w:tc>
          <w:tcPr>
            <w:tcW w:type="dxa" w:w="33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最需要練習哪個案例？單選</w:t>
            </w:r>
          </w:p>
        </w:tc>
        <w:tc>
          <w:tcPr>
            <w:tcW w:type="dxa" w:w="580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首次詢問；需求變更；超出服務範圍；臨時缺員；資料交接；不適用。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Q11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偏好的學習方法？最多2項</w:t>
            </w:r>
          </w:p>
        </w:tc>
        <w:tc>
          <w:tcPr>
            <w:tcW w:type="dxa" w:w="580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短講；示範；小組演練；紙本步驟卡；線上預習；其他。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Q12</w:t>
            </w:r>
          </w:p>
        </w:tc>
        <w:tc>
          <w:tcPr>
            <w:tcW w:type="dxa" w:w="33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較合適的參與時段？單選</w:t>
            </w:r>
          </w:p>
        </w:tc>
        <w:tc>
          <w:tcPr>
            <w:tcW w:type="dxa" w:w="580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平日白天；平日晚間；週末；短時分段；線上；待確認。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Q13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單次可投入多久？單選</w:t>
            </w:r>
          </w:p>
        </w:tc>
        <w:tc>
          <w:tcPr>
            <w:tcW w:type="dxa" w:w="580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1–2小時；3–4小時；半日；一日；待確認。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Q14</w:t>
            </w:r>
          </w:p>
        </w:tc>
        <w:tc>
          <w:tcPr>
            <w:tcW w:type="dxa" w:w="33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可能的參與障礙？最多2項</w:t>
            </w:r>
          </w:p>
        </w:tc>
        <w:tc>
          <w:tcPr>
            <w:tcW w:type="dxa" w:w="580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志工時間；交通；照顧責任；設備網路；課程長度；無障礙需求；其他。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Q15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需要哪些學習支持？可複選</w:t>
            </w:r>
          </w:p>
        </w:tc>
        <w:tc>
          <w:tcPr>
            <w:tcW w:type="dxa" w:w="580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大字版；紙本；休息安排；字幕／文字；無障礙動線；目前無；其他。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Q16</w:t>
            </w:r>
          </w:p>
        </w:tc>
        <w:tc>
          <w:tcPr>
            <w:tcW w:type="dxa" w:w="33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較合適的課後追蹤方式？單選</w:t>
            </w:r>
          </w:p>
        </w:tc>
        <w:tc>
          <w:tcPr>
            <w:tcW w:type="dxa" w:w="580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短問卷；30日自願回覆；任務角色觀察；下次檢討；不希望追蹤。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Q17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哪些資料紀錄方式可接受？可複選</w:t>
            </w:r>
          </w:p>
        </w:tc>
        <w:tc>
          <w:tcPr>
            <w:tcW w:type="dxa" w:w="580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匿名代碼；只記任務不記姓名；指定者保管紙本；不在公開群組貼個資；其他。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Q18</w:t>
            </w:r>
          </w:p>
        </w:tc>
        <w:tc>
          <w:tcPr>
            <w:tcW w:type="dxa" w:w="33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還有何需求、障礙或不適合內容？開放題</w:t>
            </w:r>
          </w:p>
        </w:tc>
        <w:tc>
          <w:tcPr>
            <w:tcW w:type="dxa" w:w="580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勿寫可識別敏感資料；案例請用虛構或去識別方式。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rPr>
          <w:rFonts w:ascii="Microsoft JhengHei" w:hAnsi="Microsoft JhengHei" w:eastAsia="Microsoft JhengHei"/>
          <w:b/>
          <w:color w:val="17365D"/>
          <w:sz w:val="30"/>
        </w:rPr>
        <w:t>六、訪談指引與資料品質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表6｜半結構式訪談問題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4608"/>
        <w:gridCol w:w="4651"/>
      </w:tblGrid>
      <w:tr>
        <w:trPr>
          <w:tblHeader w:val="true"/>
          <w:cantSplit/>
        </w:trPr>
        <w:tc>
          <w:tcPr>
            <w:tcW w:type="dxa" w:w="648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序</w:t>
            </w:r>
          </w:p>
        </w:tc>
        <w:tc>
          <w:tcPr>
            <w:tcW w:type="dxa" w:w="4608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提問</w:t>
            </w:r>
          </w:p>
        </w:tc>
        <w:tc>
          <w:tcPr>
            <w:tcW w:type="dxa" w:w="4651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整理欄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1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描述最近一次需要這項訓練的任務情境。</w:t>
            </w:r>
          </w:p>
        </w:tc>
        <w:tc>
          <w:tcPr>
            <w:tcW w:type="dxa" w:w="4651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任務、時間、角色、可查來源；不留個資。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</w:t>
            </w:r>
          </w:p>
        </w:tc>
        <w:tc>
          <w:tcPr>
            <w:tcW w:type="dxa" w:w="460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哪一步最容易停住、重做或漏交接？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具體行為，不寫人格評價。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完成任務時，哪個行為會讓你放心？</w:t>
            </w:r>
          </w:p>
        </w:tc>
        <w:tc>
          <w:tcPr>
            <w:tcW w:type="dxa" w:w="4651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可觀察行為及判定方式。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460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哪些內容應由其他責任角色處理？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服務界線及轉介路徑；不作醫療判斷。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若先教一項，最值得先學什麼？為什麼？</w:t>
            </w:r>
          </w:p>
        </w:tc>
        <w:tc>
          <w:tcPr>
            <w:tcW w:type="dxa" w:w="4651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影響、頻率、風險及來源。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6</w:t>
            </w:r>
          </w:p>
        </w:tc>
        <w:tc>
          <w:tcPr>
            <w:tcW w:type="dxa" w:w="460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何種方式、時段或支持能讓你參加？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方式、時間、無障礙及資源。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7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課後如何看出課程有幫助？</w:t>
            </w:r>
          </w:p>
        </w:tc>
        <w:tc>
          <w:tcPr>
            <w:tcW w:type="dxa" w:w="4651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作品或匿名任務檢核，不承諾外部成果。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8</w:t>
            </w:r>
          </w:p>
        </w:tc>
        <w:tc>
          <w:tcPr>
            <w:tcW w:type="dxa" w:w="460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有哪些相反意見、未確定資料或不應納入內容？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保留不同意見及待查來源。</w:t>
            </w:r>
          </w:p>
        </w:tc>
      </w:tr>
    </w:tbl>
    <w:p>
      <w:pPr>
        <w:spacing w:after="20"/>
      </w:pP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有效問卷規則：至少有需求來源Q01、完整重要度矩陣Q04，且Q05至少3項可用；否則保留去識別排除原因，不列入均值。分別報告邀請、回收、有效數。目的抽樣只描述受訪樣本，不推論整體市場。示範最低規劃門檻為總有效數6份且每來源至少2份；這是小型規劃建議，不是官方抽樣要求。</w:t>
      </w:r>
    </w:p>
    <w:p>
      <w:pPr>
        <w:pStyle w:val="Heading1"/>
        <w:pageBreakBefore w:val="0"/>
      </w:pPr>
      <w:r>
        <w:rPr>
          <w:rFonts w:ascii="Microsoft JhengHei" w:hAnsi="Microsoft JhengHei" w:eastAsia="Microsoft JhengHei"/>
          <w:b/>
          <w:color w:val="17365D"/>
          <w:sz w:val="30"/>
        </w:rPr>
        <w:t>七、完整合成案例：回收與有效分母</w:t>
      </w: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案例識別 SYN-0033-PLAN-01；示範期間2026/08/03至2026/08/14。三類各邀請4份、共12份；回收10份，其中任務角色代表SYN-R10缺Q04完整重要度矩陣而排除；有效9份。合作窗口SYN-R11及預定受訓者SYN-R12未回覆。所有資料虛構。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表7｜各來源邀請、回收及有效份數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936"/>
        <w:gridCol w:w="936"/>
        <w:gridCol w:w="936"/>
        <w:gridCol w:w="2045"/>
        <w:gridCol w:w="2390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來源組別</w:t>
            </w:r>
          </w:p>
        </w:tc>
        <w:tc>
          <w:tcPr>
            <w:tcW w:type="dxa" w:w="936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邀請</w:t>
            </w:r>
          </w:p>
        </w:tc>
        <w:tc>
          <w:tcPr>
            <w:tcW w:type="dxa" w:w="936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回收</w:t>
            </w:r>
          </w:p>
        </w:tc>
        <w:tc>
          <w:tcPr>
            <w:tcW w:type="dxa" w:w="936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</w:t>
            </w:r>
          </w:p>
        </w:tc>
        <w:tc>
          <w:tcPr>
            <w:tcW w:type="dxa" w:w="2045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回收率</w:t>
            </w:r>
          </w:p>
        </w:tc>
        <w:tc>
          <w:tcPr>
            <w:tcW w:type="dxa" w:w="2390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有效回覆率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合作窗口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3/4=75.0%</w:t>
            </w:r>
          </w:p>
        </w:tc>
        <w:tc>
          <w:tcPr>
            <w:tcW w:type="dxa" w:w="239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3/4=75.0%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預定受訓者</w:t>
            </w:r>
          </w:p>
        </w:tc>
        <w:tc>
          <w:tcPr>
            <w:tcW w:type="dxa" w:w="93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93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93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204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3/4=75.0%</w:t>
            </w:r>
          </w:p>
        </w:tc>
        <w:tc>
          <w:tcPr>
            <w:tcW w:type="dxa" w:w="239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3/4=75.0%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任務角色代表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4/4=100.0%</w:t>
            </w:r>
          </w:p>
        </w:tc>
        <w:tc>
          <w:tcPr>
            <w:tcW w:type="dxa" w:w="239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3/4=75.0%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合計</w:t>
            </w:r>
          </w:p>
        </w:tc>
        <w:tc>
          <w:tcPr>
            <w:tcW w:type="dxa" w:w="93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12</w:t>
            </w:r>
          </w:p>
        </w:tc>
        <w:tc>
          <w:tcPr>
            <w:tcW w:type="dxa" w:w="93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10</w:t>
            </w:r>
          </w:p>
        </w:tc>
        <w:tc>
          <w:tcPr>
            <w:tcW w:type="dxa" w:w="93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9</w:t>
            </w:r>
          </w:p>
        </w:tc>
        <w:tc>
          <w:tcPr>
            <w:tcW w:type="dxa" w:w="204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10/12=83.3%</w:t>
            </w:r>
          </w:p>
        </w:tc>
        <w:tc>
          <w:tcPr>
            <w:tcW w:type="dxa" w:w="239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9/12=75.0%</w:t>
            </w:r>
          </w:p>
        </w:tc>
      </w:tr>
    </w:tbl>
    <w:p>
      <w:pPr>
        <w:spacing w:after="20"/>
      </w:pP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公式：回收率＝回收÷邀請；有效回覆率＝有效÷邀請；回收中有效比例＝9÷10＝90.0%。小數四捨五入至1位。合計為10÷12＝83.3%、9÷12＝75.0%、9÷10＝90.0%。空值不補0，未回覆不解讀為沒有需求。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表8｜合成有效回覆：重要度原始分數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088"/>
        <w:gridCol w:w="1555"/>
        <w:gridCol w:w="1555"/>
        <w:gridCol w:w="1555"/>
        <w:gridCol w:w="1642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匿名代碼</w:t>
            </w:r>
          </w:p>
        </w:tc>
        <w:tc>
          <w:tcPr>
            <w:tcW w:type="dxa" w:w="2088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1555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甲</w:t>
            </w:r>
          </w:p>
        </w:tc>
        <w:tc>
          <w:tcPr>
            <w:tcW w:type="dxa" w:w="1555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乙</w:t>
            </w:r>
          </w:p>
        </w:tc>
        <w:tc>
          <w:tcPr>
            <w:tcW w:type="dxa" w:w="1555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丙</w:t>
            </w:r>
          </w:p>
        </w:tc>
        <w:tc>
          <w:tcPr>
            <w:tcW w:type="dxa" w:w="1642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SYN-R01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合作窗口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SYN-R02</w:t>
            </w:r>
          </w:p>
        </w:tc>
        <w:tc>
          <w:tcPr>
            <w:tcW w:type="dxa" w:w="208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合作窗口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64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SYN-R03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合作窗口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SYN-R04</w:t>
            </w:r>
          </w:p>
        </w:tc>
        <w:tc>
          <w:tcPr>
            <w:tcW w:type="dxa" w:w="208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預定受訓者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64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SYN-R05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預定受訓者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SYN-R06</w:t>
            </w:r>
          </w:p>
        </w:tc>
        <w:tc>
          <w:tcPr>
            <w:tcW w:type="dxa" w:w="208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預定受訓者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64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SYN-R07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任務角色代表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SYN-R08</w:t>
            </w:r>
          </w:p>
        </w:tc>
        <w:tc>
          <w:tcPr>
            <w:tcW w:type="dxa" w:w="208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任務角色代表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</w:t>
            </w:r>
          </w:p>
        </w:tc>
        <w:tc>
          <w:tcPr>
            <w:tcW w:type="dxa" w:w="164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SYN-R09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任務角色代表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表9｜同批回覆：自評把握度原始分數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088"/>
        <w:gridCol w:w="1555"/>
        <w:gridCol w:w="1555"/>
        <w:gridCol w:w="1555"/>
        <w:gridCol w:w="1642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匿名代碼</w:t>
            </w:r>
          </w:p>
        </w:tc>
        <w:tc>
          <w:tcPr>
            <w:tcW w:type="dxa" w:w="2088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1555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甲</w:t>
            </w:r>
          </w:p>
        </w:tc>
        <w:tc>
          <w:tcPr>
            <w:tcW w:type="dxa" w:w="1555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乙</w:t>
            </w:r>
          </w:p>
        </w:tc>
        <w:tc>
          <w:tcPr>
            <w:tcW w:type="dxa" w:w="1555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丙</w:t>
            </w:r>
          </w:p>
        </w:tc>
        <w:tc>
          <w:tcPr>
            <w:tcW w:type="dxa" w:w="1642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SYN-R01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合作窗口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SYN-R02</w:t>
            </w:r>
          </w:p>
        </w:tc>
        <w:tc>
          <w:tcPr>
            <w:tcW w:type="dxa" w:w="208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合作窗口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64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SYN-R03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合作窗口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SYN-R04</w:t>
            </w:r>
          </w:p>
        </w:tc>
        <w:tc>
          <w:tcPr>
            <w:tcW w:type="dxa" w:w="208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預定受訓者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64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SYN-R05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預定受訓者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SYN-R06</w:t>
            </w:r>
          </w:p>
        </w:tc>
        <w:tc>
          <w:tcPr>
            <w:tcW w:type="dxa" w:w="208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預定受訓者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64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SYN-R07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任務角色代表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SYN-R08</w:t>
            </w:r>
          </w:p>
        </w:tc>
        <w:tc>
          <w:tcPr>
            <w:tcW w:type="dxa" w:w="208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任務角色代表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55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64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SYN-R09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任務角色代表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</w:t>
            </w:r>
          </w:p>
        </w:tc>
      </w:tr>
    </w:tbl>
    <w:p>
      <w:pPr>
        <w:spacing w:after="20"/>
      </w:pP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九份有效答卷×四項能力×兩種量尺＝72個有效評分值。每個匿名代碼在表8、表9代表同一份虛構答案。自評只反映作答者把握度，不等於實作能力。</w:t>
      </w:r>
    </w:p>
    <w:p>
      <w:pPr>
        <w:pStyle w:val="Heading1"/>
        <w:pageBreakBefore w:val="0"/>
      </w:pPr>
      <w:r>
        <w:rPr>
          <w:rFonts w:ascii="Microsoft JhengHei" w:hAnsi="Microsoft JhengHei" w:eastAsia="Microsoft JhengHei"/>
          <w:b/>
          <w:color w:val="17365D"/>
          <w:sz w:val="30"/>
        </w:rPr>
        <w:t>八、計算、需求優先級與限制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表10｜逐項均值、差距及示範判定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重要度平均＝重要度總分÷有效N；自評平均＝自評總分÷有效N；差距＝重要度平均－自評平均。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2232"/>
        <w:gridCol w:w="1512"/>
        <w:gridCol w:w="1512"/>
        <w:gridCol w:w="1613"/>
        <w:gridCol w:w="2131"/>
      </w:tblGrid>
      <w:tr>
        <w:trPr>
          <w:tblHeader w:val="true"/>
          <w:cantSplit/>
        </w:trPr>
        <w:tc>
          <w:tcPr>
            <w:tcW w:type="dxa" w:w="835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232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1512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重要度</w:t>
            </w:r>
          </w:p>
        </w:tc>
        <w:tc>
          <w:tcPr>
            <w:tcW w:type="dxa" w:w="1512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自評</w:t>
            </w:r>
          </w:p>
        </w:tc>
        <w:tc>
          <w:tcPr>
            <w:tcW w:type="dxa" w:w="1613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</w:t>
            </w:r>
          </w:p>
        </w:tc>
        <w:tc>
          <w:tcPr>
            <w:tcW w:type="dxa" w:w="2131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示範判定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能力甲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工作界線與適切轉介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41/9=4.56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24/9=2.67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4.56-2.67=1.89</w:t>
            </w:r>
          </w:p>
        </w:tc>
        <w:tc>
          <w:tcPr>
            <w:tcW w:type="dxa" w:w="2131"/>
            <w:vAlign w:val="center"/>
            <w:shd w:fill="FFFFFF"/>
          </w:tcPr>
          <w:p>
            <w:r>
              <w:t>符合合成規則；優先擬議第2/3（差距1.89）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能力乙</w:t>
            </w:r>
          </w:p>
        </w:tc>
        <w:tc>
          <w:tcPr>
            <w:tcW w:type="dxa" w:w="223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尊重溝通與需求確認</w:t>
            </w:r>
          </w:p>
        </w:tc>
        <w:tc>
          <w:tcPr>
            <w:tcW w:type="dxa" w:w="151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38/9=4.22</w:t>
            </w:r>
          </w:p>
        </w:tc>
        <w:tc>
          <w:tcPr>
            <w:tcW w:type="dxa" w:w="151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25/9=2.78</w:t>
            </w:r>
          </w:p>
        </w:tc>
        <w:tc>
          <w:tcPr>
            <w:tcW w:type="dxa" w:w="161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4.22-2.78=1.44</w:t>
            </w:r>
          </w:p>
        </w:tc>
        <w:tc>
          <w:tcPr>
            <w:tcW w:type="dxa" w:w="2131"/>
            <w:vAlign w:val="center"/>
            <w:shd w:fill="F5F8FB"/>
          </w:tcPr>
          <w:p>
            <w:r>
              <w:t>符合合成規則；優先擬議第3/3（差距1.44）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能力丙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活動流程與現場安全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35/9=3.89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27/9=3.00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3.89-3.00=0.89</w:t>
            </w:r>
          </w:p>
        </w:tc>
        <w:tc>
          <w:tcPr>
            <w:tcW w:type="dxa" w:w="2131"/>
            <w:vAlign w:val="center"/>
            <w:shd w:fill="FFFFFF"/>
          </w:tcPr>
          <w:p>
            <w:r>
              <w:t>未符合（重要度3.89、差距0.89）；保留風險核對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能力丁</w:t>
            </w:r>
          </w:p>
        </w:tc>
        <w:tc>
          <w:tcPr>
            <w:tcW w:type="dxa" w:w="223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最小必要紀錄與交接</w:t>
            </w:r>
          </w:p>
        </w:tc>
        <w:tc>
          <w:tcPr>
            <w:tcW w:type="dxa" w:w="151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39/9=4.33</w:t>
            </w:r>
          </w:p>
        </w:tc>
        <w:tc>
          <w:tcPr>
            <w:tcW w:type="dxa" w:w="151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21/9=2.33</w:t>
            </w:r>
          </w:p>
        </w:tc>
        <w:tc>
          <w:tcPr>
            <w:tcW w:type="dxa" w:w="161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4.33-2.33=2.00</w:t>
            </w:r>
          </w:p>
        </w:tc>
        <w:tc>
          <w:tcPr>
            <w:tcW w:type="dxa" w:w="2131"/>
            <w:vAlign w:val="center"/>
            <w:shd w:fill="F5F8FB"/>
          </w:tcPr>
          <w:p>
            <w:r>
              <w:t>符合合成規則；優先擬議第1/3（差距2.00）</w:t>
            </w:r>
          </w:p>
        </w:tc>
      </w:tr>
    </w:tbl>
    <w:p>
      <w:pPr>
        <w:spacing w:after="20"/>
      </w:pPr>
      <w:r>
        <w:t>本件能力優先規則（僅 SAMPLE/SYNTHETIC 示範，非官方門檻、非協會政策或核准）：重要度平均須≥4.00/5且差距須≥1.20，兩者同時符合才列優先擬議；符合者按差距由高至低排序，同差距時依重要度、能力代碼排序。未達者仍保留任務風險核對，不等於排除訓練。門檻是本例預設的規劃示範值，正式使用須由有權者依真實需求另訂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表11｜能力定義與規劃含義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3384"/>
        <w:gridCol w:w="2088"/>
        <w:gridCol w:w="3485"/>
      </w:tblGrid>
      <w:tr>
        <w:trPr>
          <w:tblHeader w:val="true"/>
          <w:cantSplit/>
        </w:trPr>
        <w:tc>
          <w:tcPr>
            <w:tcW w:type="dxa" w:w="893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3384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可觀察行為</w:t>
            </w:r>
          </w:p>
        </w:tc>
        <w:tc>
          <w:tcPr>
            <w:tcW w:type="dxa" w:w="2088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樣本結果</w:t>
            </w:r>
          </w:p>
        </w:tc>
        <w:tc>
          <w:tcPr>
            <w:tcW w:type="dxa" w:w="3485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規劃含義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能力甲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辨認超出受訓角色的需求，停止自行承諾並交接至適當責任窗口。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重要度 4.56；把握度 2.67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t>符合本件合成優先規則（第2/3）；納入示範練習，正式採用前仍核對真實來源。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能力乙</w:t>
            </w:r>
          </w:p>
        </w:tc>
        <w:tc>
          <w:tcPr>
            <w:tcW w:type="dxa" w:w="33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用開放提問、重述及確認下一步，避免承諾未授權服務。</w:t>
            </w:r>
          </w:p>
        </w:tc>
        <w:tc>
          <w:tcPr>
            <w:tcW w:type="dxa" w:w="208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重要度 4.22；把握度 2.78</w:t>
            </w:r>
          </w:p>
        </w:tc>
        <w:tc>
          <w:tcPr>
            <w:tcW w:type="dxa" w:w="3485"/>
            <w:vAlign w:val="center"/>
            <w:shd w:fill="F5F8FB"/>
          </w:tcPr>
          <w:p>
            <w:r>
              <w:t>符合本件合成優先規則（第3/3）；納入示範練習，正式採用前仍核對真實來源。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能力丙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依清單確認場地、動線、器材和中止條件；不作醫療判斷。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重要度 3.89；把握度 3.00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t>未達本件合成優先規則；仍以流程清單核對任務風險、場地及真實需求，不據此排除訓練。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能力丁</w:t>
            </w:r>
          </w:p>
        </w:tc>
        <w:tc>
          <w:tcPr>
            <w:tcW w:type="dxa" w:w="33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用匿名代碼記錄任務狀態、未結事項及接手責任。</w:t>
            </w:r>
          </w:p>
        </w:tc>
        <w:tc>
          <w:tcPr>
            <w:tcW w:type="dxa" w:w="208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重要度 4.33；把握度 2.33</w:t>
            </w:r>
          </w:p>
        </w:tc>
        <w:tc>
          <w:tcPr>
            <w:tcW w:type="dxa" w:w="3485"/>
            <w:vAlign w:val="center"/>
            <w:shd w:fill="F5F8FB"/>
          </w:tcPr>
          <w:p>
            <w:r>
              <w:t>符合本件合成優先規則（第1/3）；納入示範練習，正式採用前仍核對真實來源。</w:t>
            </w:r>
          </w:p>
        </w:tc>
      </w:tr>
    </w:tbl>
    <w:p>
      <w:pPr>
        <w:spacing w:after="20"/>
      </w:pPr>
    </w:p>
    <w:p>
      <w:pPr>
        <w:widowControl/>
        <w:spacing w:after="100" w:line="264" w:lineRule="auto"/>
      </w:pPr>
      <w:r>
        <w:t>依合成規則，丁（2.00）第1、甲（1.89）第2、乙（1.44）第3；三者均符合重要度≥4.00且差距≥1.20。丙（3.89、0.89）未達，但保留風險核對。這是能力排序；後文另為課程方案加權比較。九份目的樣本不推論市場，自評不證明實作能力。</w:t>
      </w:r>
    </w:p>
    <w:p>
      <w:pPr>
        <w:pStyle w:val="Heading1"/>
        <w:pageBreakBefore w:val="0"/>
      </w:pPr>
      <w:r>
        <w:rPr>
          <w:rFonts w:ascii="Microsoft JhengHei" w:hAnsi="Microsoft JhengHei" w:eastAsia="Microsoft JhengHei"/>
          <w:b/>
          <w:color w:val="17365D"/>
          <w:sz w:val="30"/>
        </w:rPr>
        <w:t>九、方案比較與可觀察課程目標</w:t>
      </w: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示範權重合計100%。加權分＝需求支持度×40%＋能力差距回應×30%＋情境可行性×20%＋結果可觀察性×10%；各分數1至5，僅供規劃比較。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評分錨點｜方案比較的1、3、5分定義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2520"/>
        <w:gridCol w:w="2621"/>
        <w:gridCol w:w="2822"/>
      </w:tblGrid>
      <w:tr>
        <w:trPr>
          <w:tblHeader w:val="true"/>
          <w:cantSplit/>
        </w:trPr>
        <w:tc>
          <w:tcPr>
            <w:tcW w:type="dxa" w:w="1757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1分</w:t>
            </w:r>
          </w:p>
        </w:tc>
        <w:tc>
          <w:tcPr>
            <w:tcW w:type="dxa" w:w="2621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3分</w:t>
            </w:r>
          </w:p>
        </w:tc>
        <w:tc>
          <w:tcPr>
            <w:tcW w:type="dxa" w:w="2822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需求支持度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無可追溯來源。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有一類來源和情境，仍有來源缺口。</w:t>
            </w:r>
          </w:p>
        </w:tc>
        <w:tc>
          <w:tcPr>
            <w:tcW w:type="dxa" w:w="282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多類來源互相印證，且有具體任務情境。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差距回應</w:t>
            </w:r>
          </w:p>
        </w:tc>
        <w:tc>
          <w:tcPr>
            <w:tcW w:type="dxa" w:w="252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未映射能力或差距。</w:t>
            </w:r>
          </w:p>
        </w:tc>
        <w:tc>
          <w:tcPr>
            <w:tcW w:type="dxa" w:w="2621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部分回應能力需求，目標或練習仍有缺漏。</w:t>
            </w:r>
          </w:p>
        </w:tc>
        <w:tc>
          <w:tcPr>
            <w:tcW w:type="dxa" w:w="282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優先差距映射到行為目標、練習與判準。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情境可行性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資源、時間或權限未盤點。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已列資源及限制，仍有待核項。</w:t>
            </w:r>
          </w:p>
        </w:tc>
        <w:tc>
          <w:tcPr>
            <w:tcW w:type="dxa" w:w="282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在假設情境中所需資源與權限條件皆具備。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結果可觀察性</w:t>
            </w:r>
          </w:p>
        </w:tc>
        <w:tc>
          <w:tcPr>
            <w:tcW w:type="dxa" w:w="252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沒有學習成果或檢查方法。</w:t>
            </w:r>
          </w:p>
        </w:tc>
        <w:tc>
          <w:tcPr>
            <w:tcW w:type="dxa" w:w="2621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有成果方向，行為或判準不完整。</w:t>
            </w:r>
          </w:p>
        </w:tc>
        <w:tc>
          <w:tcPr>
            <w:tcW w:type="dxa" w:w="282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行為、條件、達標門檻及可檢查作品齊全。</w:t>
            </w:r>
          </w:p>
        </w:tc>
      </w:tr>
    </w:tbl>
    <w:p>
      <w:pPr>
        <w:spacing w:after="20"/>
      </w:pP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2分及4分分別介於相鄰錨點；評分者應記錄證據理由。下表所有評分為SAMPLE/SYNTHETIC，5分只表示虛構情境符合該錨點，不代表現場資源或權限已查證。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表12｜三個候選方向的合成加權比較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3341"/>
        <w:gridCol w:w="979"/>
        <w:gridCol w:w="979"/>
        <w:gridCol w:w="979"/>
        <w:gridCol w:w="979"/>
        <w:gridCol w:w="1440"/>
      </w:tblGrid>
      <w:tr>
        <w:trPr>
          <w:tblHeader w:val="true"/>
          <w:cantSplit/>
        </w:trPr>
        <w:tc>
          <w:tcPr>
            <w:tcW w:type="dxa" w:w="893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341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979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需求40%</w:t>
            </w:r>
          </w:p>
        </w:tc>
        <w:tc>
          <w:tcPr>
            <w:tcW w:type="dxa" w:w="979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差距30%</w:t>
            </w:r>
          </w:p>
        </w:tc>
        <w:tc>
          <w:tcPr>
            <w:tcW w:type="dxa" w:w="979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可行20%</w:t>
            </w:r>
          </w:p>
        </w:tc>
        <w:tc>
          <w:tcPr>
            <w:tcW w:type="dxa" w:w="979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可評10%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總分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方案甲</w:t>
            </w:r>
          </w:p>
        </w:tc>
        <w:tc>
          <w:tcPr>
            <w:tcW w:type="dxa" w:w="3341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服務紀錄、交接與工作界線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4.80/5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方案乙</w:t>
            </w:r>
          </w:p>
        </w:tc>
        <w:tc>
          <w:tcPr>
            <w:tcW w:type="dxa" w:w="3341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需求溝通與下一步確認</w:t>
            </w:r>
          </w:p>
        </w:tc>
        <w:tc>
          <w:tcPr>
            <w:tcW w:type="dxa" w:w="979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979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979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979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44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4.00/5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方案丙</w:t>
            </w:r>
          </w:p>
        </w:tc>
        <w:tc>
          <w:tcPr>
            <w:tcW w:type="dxa" w:w="3341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小型活動流程與現場安全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3.50/5</w:t>
            </w:r>
          </w:p>
        </w:tc>
      </w:tr>
    </w:tbl>
    <w:p>
      <w:pPr>
        <w:spacing w:after="20"/>
      </w:pP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逐步重算：甲＝5×0.40＋5×0.30＋4×0.20＋5×0.10＝4.80；乙＝4×0.40＋4×0.30＋4×0.20＋4×0.10＝4.00；丙＝3×0.40＋3×0.30＋5×0.20＋4×0.10＝3.50。示範優先擬議方案甲，並非協會正式選課或核准。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方案理由｜合成資料如何支持分數及暫定排序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37"/>
        <w:gridCol w:w="6264"/>
        <w:gridCol w:w="2563"/>
      </w:tblGrid>
      <w:tr>
        <w:trPr>
          <w:tblHeader w:val="true"/>
          <w:cantSplit/>
        </w:trPr>
        <w:tc>
          <w:tcPr>
            <w:tcW w:type="dxa" w:w="1037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合成證據與分數理由</w:t>
            </w:r>
          </w:p>
        </w:tc>
        <w:tc>
          <w:tcPr>
            <w:tcW w:type="dxa" w:w="2563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本批暫定處理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方案甲</w:t>
            </w:r>
          </w:p>
        </w:tc>
        <w:tc>
          <w:tcPr>
            <w:tcW w:type="dxa" w:w="6264"/>
            <w:vAlign w:val="center"/>
            <w:shd w:fill="FFFFFF"/>
          </w:tcPr>
          <w:p>
            <w:r>
              <w:t>能力甲及丁皆符合表10本件SAMPLE門檻。方案甲加權4.80/5，三方案第1；兩種排序用途不同。資源與授權仍待核。</w:t>
            </w:r>
          </w:p>
        </w:tc>
        <w:tc>
          <w:tcPr>
            <w:tcW w:type="dxa" w:w="256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本批最高4.80，列為優先擬議方向；仍須REAL需求、資源及授權。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方案乙</w:t>
            </w:r>
          </w:p>
        </w:tc>
        <w:tc>
          <w:tcPr>
            <w:tcW w:type="dxa" w:w="6264"/>
            <w:vAlign w:val="center"/>
            <w:shd w:fill="F5F8FB"/>
          </w:tcPr>
          <w:p>
            <w:r>
              <w:t>能力乙符合表10本件SAMPLE門檻。方案乙加權4.00/5，三方案第2；技能排序與方案分數分開判讀。需求與資源待真實核驗。</w:t>
            </w:r>
          </w:p>
        </w:tc>
        <w:tc>
          <w:tcPr>
            <w:tcW w:type="dxa" w:w="256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4.00；列次順位，待實際來源確認是否獨立開課或併入甲。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方案丙</w:t>
            </w:r>
          </w:p>
        </w:tc>
        <w:tc>
          <w:tcPr>
            <w:tcW w:type="dxa" w:w="6264"/>
            <w:vAlign w:val="center"/>
            <w:shd w:fill="FFFFFF"/>
          </w:tcPr>
          <w:p>
            <w:r>
              <w:t>能力丙未達表10本件SAMPLE門檻，仍保留風險核對。方案丙加權3.50/5，三方案第3；可行性是假設。</w:t>
            </w:r>
          </w:p>
        </w:tc>
        <w:tc>
          <w:tcPr>
            <w:tcW w:type="dxa" w:w="256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3.50；本輪延後，先查場地、任務風險及真實需求。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表13｜優先擬議方向的學習目標與評量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2880"/>
        <w:gridCol w:w="3744"/>
        <w:gridCol w:w="893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單元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</w:t>
            </w:r>
          </w:p>
        </w:tc>
        <w:tc>
          <w:tcPr>
            <w:tcW w:type="dxa" w:w="3744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評量標準</w:t>
            </w:r>
          </w:p>
        </w:tc>
        <w:tc>
          <w:tcPr>
            <w:tcW w:type="dxa" w:w="893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示範時數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單元一：角色界線與交接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指出超出受訓角色的情境及正確交接責任。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5個虛構案例至少4題判斷正確。</w:t>
            </w:r>
          </w:p>
        </w:tc>
        <w:tc>
          <w:tcPr>
            <w:tcW w:type="dxa" w:w="89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90分鐘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單元二：需求確認</w:t>
            </w:r>
          </w:p>
        </w:tc>
        <w:tc>
          <w:tcPr>
            <w:tcW w:type="dxa" w:w="288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用提問、重述、確認下一步完成演練。</w:t>
            </w:r>
          </w:p>
        </w:tc>
        <w:tc>
          <w:tcPr>
            <w:tcW w:type="dxa" w:w="374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聆聽、重述、界線、確認4項至少3項達標。</w:t>
            </w:r>
          </w:p>
        </w:tc>
        <w:tc>
          <w:tcPr>
            <w:tcW w:type="dxa" w:w="89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90分鐘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單元三：最小必要紀錄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用匿名代碼記錄任務、狀態、未結事項、下一步及責任者。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5個必要欄位完整；不含不必要個資。</w:t>
            </w:r>
          </w:p>
        </w:tc>
        <w:tc>
          <w:tcPr>
            <w:tcW w:type="dxa" w:w="893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120分鐘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單元四：整合練習</w:t>
            </w:r>
          </w:p>
        </w:tc>
        <w:tc>
          <w:tcPr>
            <w:tcW w:type="dxa" w:w="288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完成虛構案例交接並指出待補資訊。</w:t>
            </w:r>
          </w:p>
        </w:tc>
        <w:tc>
          <w:tcPr>
            <w:tcW w:type="dxa" w:w="374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按清單核對；未達標重作，不記為真實成績。</w:t>
            </w:r>
          </w:p>
        </w:tc>
        <w:tc>
          <w:tcPr>
            <w:tcW w:type="dxa" w:w="893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60分鐘</w:t>
            </w:r>
          </w:p>
        </w:tc>
      </w:tr>
    </w:tbl>
    <w:p>
      <w:pPr>
        <w:spacing w:after="20"/>
      </w:pP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四單元共90+90+120+60＝360分鐘（6小時）；示範規劃名額12人。日期、講師、場地、教材和實施紀錄沒有真實來源，本表只示範把需求轉成可觀察目標。內容不診斷、不治療、不承諾療效。</w:t>
      </w:r>
    </w:p>
    <w:p>
      <w:pPr>
        <w:pStyle w:val="Heading1"/>
        <w:pageBreakBefore w:val="0"/>
      </w:pPr>
      <w:r>
        <w:rPr>
          <w:rFonts w:ascii="Microsoft JhengHei" w:hAnsi="Microsoft JhengHei" w:eastAsia="Microsoft JhengHei"/>
          <w:b/>
          <w:color w:val="17365D"/>
          <w:sz w:val="30"/>
        </w:rPr>
        <w:t>十、工作節奏與角色責任</w:t>
      </w: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以下是可採用的工作角色，不表示協會現行職稱或已指派人員。同一志工可兼任；資料整理與分析覆核應盡量分開。未查明章程權限，不填核准者姓名。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表14｜四週規劃節奏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4104"/>
        <w:gridCol w:w="2232"/>
        <w:gridCol w:w="2189"/>
      </w:tblGrid>
      <w:tr>
        <w:trPr>
          <w:tblHeader w:val="true"/>
          <w:cantSplit/>
        </w:trPr>
        <w:tc>
          <w:tcPr>
            <w:tcW w:type="dxa" w:w="1224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相對時段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工作</w:t>
            </w:r>
          </w:p>
        </w:tc>
        <w:tc>
          <w:tcPr>
            <w:tcW w:type="dxa" w:w="2232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2189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輸出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第1週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確認決策問題、現行服務對象、權限與來源；建立匿名代碼。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規劃召集角色／核對者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來源清單及待查項。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第2週</w:t>
            </w:r>
          </w:p>
        </w:tc>
        <w:tc>
          <w:tcPr>
            <w:tcW w:type="dxa" w:w="410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試讀問卷、確認告知文字、邀請分層及保管方式。</w:t>
            </w:r>
          </w:p>
        </w:tc>
        <w:tc>
          <w:tcPr>
            <w:tcW w:type="dxa" w:w="223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問卷承辦／隱私覆核</w:t>
            </w:r>
          </w:p>
        </w:tc>
        <w:tc>
          <w:tcPr>
            <w:tcW w:type="dxa" w:w="2189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可發放版本及核實發放清單。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第3週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發放、回收、逐筆有效判定並記錄去識別排除原因。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資料整理／第二位覆核者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原始匿名資料、分母及回收率。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第4週</w:t>
            </w:r>
          </w:p>
        </w:tc>
        <w:tc>
          <w:tcPr>
            <w:tcW w:type="dxa" w:w="410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計算差距、比較方案、形成擬議目標與未決事項。</w:t>
            </w:r>
          </w:p>
        </w:tc>
        <w:tc>
          <w:tcPr>
            <w:tcW w:type="dxa" w:w="223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課程規劃／真實授權者</w:t>
            </w:r>
          </w:p>
        </w:tc>
        <w:tc>
          <w:tcPr>
            <w:tcW w:type="dxa" w:w="2189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摘要、比較表及檢討事項。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表15｜交接與備援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960"/>
        <w:gridCol w:w="3845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建議工作角色</w:t>
            </w:r>
          </w:p>
        </w:tc>
        <w:tc>
          <w:tcPr>
            <w:tcW w:type="dxa" w:w="3960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</w:t>
            </w:r>
          </w:p>
        </w:tc>
        <w:tc>
          <w:tcPr>
            <w:tcW w:type="dxa" w:w="3845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規劃召集者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定義調查問題，整合來源及候選方向。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記錄未結事項；缺席由預先指定者接手。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問卷承辦者</w:t>
            </w:r>
          </w:p>
        </w:tc>
        <w:tc>
          <w:tcPr>
            <w:tcW w:type="dxa" w:w="396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發放告知、記邀請回收，不蒐集多餘識別資料。</w:t>
            </w:r>
          </w:p>
        </w:tc>
        <w:tc>
          <w:tcPr>
            <w:tcW w:type="dxa" w:w="384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原始資料位置與權限須由實際授權確認。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資料整理者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依規則計分、分類文字、列分母與排除原因。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第二位受指定者重算一個比例及平均。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課程規劃者</w:t>
            </w:r>
          </w:p>
        </w:tc>
        <w:tc>
          <w:tcPr>
            <w:tcW w:type="dxa" w:w="396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將需求轉成目標、內容、評量及資源檢查。</w:t>
            </w:r>
          </w:p>
        </w:tc>
        <w:tc>
          <w:tcPr>
            <w:tcW w:type="dxa" w:w="384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講師、場地及教材均需真實可核來源。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決策覆核者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按章程決定採用、延後或不辦。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權限及原始決議未核實前不得預填核准。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rPr>
          <w:rFonts w:ascii="Microsoft JhengHei" w:hAnsi="Microsoft JhengHei" w:eastAsia="Microsoft JhengHei"/>
          <w:b/>
          <w:color w:val="17365D"/>
          <w:sz w:val="30"/>
        </w:rPr>
        <w:t>十一、異常、修正與退件條件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表16｜問題—修正—覆核—追蹤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3384"/>
        <w:gridCol w:w="2232"/>
        <w:gridCol w:w="2189"/>
      </w:tblGrid>
      <w:tr>
        <w:trPr>
          <w:tblHeader w:val="true"/>
          <w:cantSplit/>
        </w:trPr>
        <w:tc>
          <w:tcPr>
            <w:tcW w:type="dxa" w:w="2016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觸發問題</w:t>
            </w:r>
          </w:p>
        </w:tc>
        <w:tc>
          <w:tcPr>
            <w:tcW w:type="dxa" w:w="3384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立即修正</w:t>
            </w:r>
          </w:p>
        </w:tc>
        <w:tc>
          <w:tcPr>
            <w:tcW w:type="dxa" w:w="2232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覆核方式</w:t>
            </w:r>
          </w:p>
        </w:tc>
        <w:tc>
          <w:tcPr>
            <w:tcW w:type="dxa" w:w="2189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來源群組回覆不足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列各組N及限制；補問或縮小結論。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第二位覆核分母與說明。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記補回資料如何影響排序。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只收意見、無任務情境</w:t>
            </w:r>
          </w:p>
        </w:tc>
        <w:tc>
          <w:tcPr>
            <w:tcW w:type="dxa" w:w="33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依訪談指引追問困難步驟與可觀察行為。</w:t>
            </w:r>
          </w:p>
        </w:tc>
        <w:tc>
          <w:tcPr>
            <w:tcW w:type="dxa" w:w="223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確認需求可映射到課程目標。</w:t>
            </w:r>
          </w:p>
        </w:tc>
        <w:tc>
          <w:tcPr>
            <w:tcW w:type="dxa" w:w="2189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無法映射者留待查。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把自評當能力證明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分開自評與實作；需要時另做個人盤點。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檢查標題、圖表和結論。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新增實作證據後再分析。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出現健康／敏感個資</w:t>
            </w:r>
          </w:p>
        </w:tc>
        <w:tc>
          <w:tcPr>
            <w:tcW w:type="dxa" w:w="33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停止收錄識別細節，依真實個資規則處理。</w:t>
            </w:r>
          </w:p>
        </w:tc>
        <w:tc>
          <w:tcPr>
            <w:tcW w:type="dxa" w:w="223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由合法資料責任者確認。</w:t>
            </w:r>
          </w:p>
        </w:tc>
        <w:tc>
          <w:tcPr>
            <w:tcW w:type="dxa" w:w="2189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只留必要匿名統計。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超出服務或資源能力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縮小、延後或不辦；先查師資、場地及授權。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依章程權責處理，不由本稿代簽。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補足來源後再比較。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示範被寫成正式決議</w:t>
            </w:r>
          </w:p>
        </w:tc>
        <w:tc>
          <w:tcPr>
            <w:tcW w:type="dxa" w:w="33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改標合成示範／擬議方案。</w:t>
            </w:r>
          </w:p>
        </w:tc>
        <w:tc>
          <w:tcPr>
            <w:tcW w:type="dxa" w:w="223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逐欄核對日期、責任及原始紀錄。</w:t>
            </w:r>
          </w:p>
        </w:tc>
        <w:tc>
          <w:tcPr>
            <w:tcW w:type="dxa" w:w="2189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正式採用另附真實授權資料。</w:t>
            </w:r>
          </w:p>
        </w:tc>
      </w:tr>
    </w:tbl>
    <w:p>
      <w:pPr>
        <w:spacing w:after="20"/>
      </w:pP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/>
          <w:color w:val="17365D"/>
          <w:sz w:val="21"/>
        </w:rPr>
        <w:t>退件條件：只有空問卷；無邀請／回收／有效分母；把目的樣本稱為市場代表；把自評稱為能力證明；需求無法連至任務、目標或評量；資源或權限未核就宣稱正式決議；示範資料未明示或未登錄替換清冊。任一成立，不能作完整調查規劃證明。</w:t>
      </w:r>
    </w:p>
    <w:p>
      <w:pPr>
        <w:pStyle w:val="Heading1"/>
        <w:pageBreakBefore w:val="0"/>
      </w:pPr>
      <w:r>
        <w:rPr>
          <w:rFonts w:ascii="Microsoft JhengHei" w:hAnsi="Microsoft JhengHei" w:eastAsia="Microsoft JhengHei"/>
          <w:b/>
          <w:color w:val="17365D"/>
          <w:sz w:val="30"/>
        </w:rPr>
        <w:t>十二、官方要求到正文定位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表17｜要求—專用欄位—判定—定位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3024"/>
        <w:gridCol w:w="3096"/>
        <w:gridCol w:w="2016"/>
      </w:tblGrid>
      <w:tr>
        <w:trPr>
          <w:tblHeader w:val="true"/>
          <w:cantSplit/>
        </w:trPr>
        <w:tc>
          <w:tcPr>
            <w:tcW w:type="dxa" w:w="1757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</w:t>
            </w:r>
          </w:p>
        </w:tc>
        <w:tc>
          <w:tcPr>
            <w:tcW w:type="dxa" w:w="3024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專用欄位</w:t>
            </w:r>
          </w:p>
        </w:tc>
        <w:tc>
          <w:tcPr>
            <w:tcW w:type="dxa" w:w="3096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判定／覆核</w:t>
            </w:r>
          </w:p>
        </w:tc>
        <w:tc>
          <w:tcPr>
            <w:tcW w:type="dxa" w:w="2016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正文定位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客戶／合作方需求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Q01–Q03、Q07–Q08、訪談1–6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分來源N、情境、重要度及限制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第5–8節；表5–11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受訓者需求</w:t>
            </w:r>
          </w:p>
        </w:tc>
        <w:tc>
          <w:tcPr>
            <w:tcW w:type="dxa" w:w="302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Q01、Q02、Q04–Q08、Q11–Q18</w:t>
            </w:r>
          </w:p>
        </w:tc>
        <w:tc>
          <w:tcPr>
            <w:tcW w:type="dxa" w:w="309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參與障礙、支持及學習證據連到目標</w:t>
            </w:r>
          </w:p>
        </w:tc>
        <w:tc>
          <w:tcPr>
            <w:tcW w:type="dxa" w:w="201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第5、9節；表5、13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職能需求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Q04–Q05、Q06、訪談2–5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自評僅作規劃訊號；個人盤點另件處理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第5、8–9節；表8–13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調查規劃與品質</w:t>
            </w:r>
          </w:p>
        </w:tc>
        <w:tc>
          <w:tcPr>
            <w:tcW w:type="dxa" w:w="302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分層、發放、清理、覆核及檢討</w:t>
            </w:r>
          </w:p>
        </w:tc>
        <w:tc>
          <w:tcPr>
            <w:tcW w:type="dxa" w:w="309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可重算分母、限制及負責角色</w:t>
            </w:r>
          </w:p>
        </w:tc>
        <w:tc>
          <w:tcPr>
            <w:tcW w:type="dxa" w:w="201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第4、6–7節；表4、6、7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課程方向與評量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能力映射、方案分數、目標及評量標準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權重100%、數學可重算，方案非核准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第3、9節；表3、12、13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rPr>
          <w:rFonts w:ascii="Microsoft JhengHei" w:hAnsi="Microsoft JhengHei" w:eastAsia="Microsoft JhengHei"/>
          <w:b/>
          <w:color w:val="17365D"/>
          <w:sz w:val="30"/>
        </w:rPr>
        <w:t>十三、完整填寫示例：SYN-R01</w:t>
      </w: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下表逐題填滿一份虛構答卷，供承辦者理解選項如何進入分析。它不是真人、協會會員、合作單位或學員回覆；Q04/Q05與表8、表9同一匿名代碼一致。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表18｜逐題完整答覆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rPr>
          <w:tblHeader w:val="true"/>
          <w:cantSplit/>
        </w:trPr>
        <w:tc>
          <w:tcPr>
            <w:tcW w:type="dxa" w:w="936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8784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SYNTHETIC合成答案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Q01</w:t>
            </w:r>
          </w:p>
        </w:tc>
        <w:tc>
          <w:tcPr>
            <w:tcW w:type="dxa" w:w="87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合作窗口（合成類別）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Q02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需求確認；服務範圍說明；紀錄交接。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Q03</w:t>
            </w:r>
          </w:p>
        </w:tc>
        <w:tc>
          <w:tcPr>
            <w:tcW w:type="dxa" w:w="87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優先單元；評量方式。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Q04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能力甲5；乙4；丙4；丁4。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Q05</w:t>
            </w:r>
          </w:p>
        </w:tc>
        <w:tc>
          <w:tcPr>
            <w:tcW w:type="dxa" w:w="87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能力甲3；乙3；丙4；丁2。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Q06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每月1–3次（示範作答）。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Q07</w:t>
            </w:r>
          </w:p>
        </w:tc>
        <w:tc>
          <w:tcPr>
            <w:tcW w:type="dxa" w:w="87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需求交接遺漏；工作界線不清。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Q08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說明工作界線；完成最小必要紀錄。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Q09</w:t>
            </w:r>
          </w:p>
        </w:tc>
        <w:tc>
          <w:tcPr>
            <w:tcW w:type="dxa" w:w="87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情境演練；示範表單。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Q10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資料交接。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Q11</w:t>
            </w:r>
          </w:p>
        </w:tc>
        <w:tc>
          <w:tcPr>
            <w:tcW w:type="dxa" w:w="87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小組演練；紙本步驟卡。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Q12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短時分段（示範偏好）。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Q13</w:t>
            </w:r>
          </w:p>
        </w:tc>
        <w:tc>
          <w:tcPr>
            <w:tcW w:type="dxa" w:w="87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3–4小時（示範偏好）。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Q14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志工時間；交通。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Q15</w:t>
            </w:r>
          </w:p>
        </w:tc>
        <w:tc>
          <w:tcPr>
            <w:tcW w:type="dxa" w:w="87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紙本；休息安排。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Q16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30日自願回覆。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Q17</w:t>
            </w:r>
          </w:p>
        </w:tc>
        <w:tc>
          <w:tcPr>
            <w:tcW w:type="dxa" w:w="878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匿名代碼；只記任務不記姓名。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Q18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交接時希望知道下一步由哪個責任角色確認，不要把可識別資料貼到共用群組。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rPr>
          <w:rFonts w:ascii="Microsoft JhengHei" w:hAnsi="Microsoft JhengHei" w:eastAsia="Microsoft JhengHei"/>
          <w:b/>
          <w:color w:val="17365D"/>
          <w:sz w:val="30"/>
        </w:rPr>
        <w:t>十四、可直接使用的空白紀錄表</w:t>
      </w: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以下空白表僅供正式執行時記錄；完整示範已獨立提供。使用前核實授權、隱私告知及保存位置。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表19｜需求—課程目標彙整表（每項需求一列）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rPr>
          <w:tblHeader w:val="true"/>
          <w:cantSplit/>
        </w:trPr>
        <w:tc>
          <w:tcPr>
            <w:tcW w:type="dxa" w:w="3096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6624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正式使用時填寫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需求來源及匿名代碼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合作窗口／受訓者／任務角色；不填姓名。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實際日期與方法</w:t>
            </w:r>
          </w:p>
        </w:tc>
        <w:tc>
          <w:tcPr>
            <w:tcW w:type="dxa" w:w="662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日期、問卷／訪談／公開任務資料。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任務情境及來源定位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工作情境、附件代碼、頁段或紀錄位置。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觀察需求與障礙</w:t>
            </w:r>
          </w:p>
        </w:tc>
        <w:tc>
          <w:tcPr>
            <w:tcW w:type="dxa" w:w="662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保留不同意見；不把推論寫成事實。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相關能力與定義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可觀察行為；未知時列補查方式。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重要度／自評／有效N</w:t>
            </w:r>
          </w:p>
        </w:tc>
        <w:tc>
          <w:tcPr>
            <w:tcW w:type="dxa" w:w="662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填分數與分母；無經驗、空值不填0。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擬議目標與評量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行為＋情境＋判準＋可檢查作品。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採用／延後／不採用及理由</w:t>
            </w:r>
          </w:p>
        </w:tc>
        <w:tc>
          <w:tcPr>
            <w:tcW w:type="dxa" w:w="662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列資源、風險、異議及資料限制。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覆核角色、責任及期限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依真實授權填寫，不預填簽名。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待取原件與下一步</w:t>
            </w:r>
          </w:p>
        </w:tc>
        <w:tc>
          <w:tcPr>
            <w:tcW w:type="dxa" w:w="6624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原件名稱、合法取得路徑及責任角色。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表20｜匿名邀請及回收清冊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25"/>
        <w:gridCol w:w="1512"/>
        <w:gridCol w:w="1512"/>
        <w:gridCol w:w="1512"/>
        <w:gridCol w:w="1440"/>
        <w:gridCol w:w="2419"/>
      </w:tblGrid>
      <w:tr>
        <w:trPr>
          <w:tblHeader w:val="true"/>
          <w:cantSplit/>
        </w:trPr>
        <w:tc>
          <w:tcPr>
            <w:tcW w:type="dxa" w:w="1325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匿名代碼</w:t>
            </w:r>
          </w:p>
        </w:tc>
        <w:tc>
          <w:tcPr>
            <w:tcW w:type="dxa" w:w="1512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來源組別</w:t>
            </w:r>
          </w:p>
        </w:tc>
        <w:tc>
          <w:tcPr>
            <w:tcW w:type="dxa" w:w="1512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發放日期</w:t>
            </w:r>
          </w:p>
        </w:tc>
        <w:tc>
          <w:tcPr>
            <w:tcW w:type="dxa" w:w="1512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回收日期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有效／排除</w:t>
            </w:r>
          </w:p>
        </w:tc>
        <w:tc>
          <w:tcPr>
            <w:tcW w:type="dxa" w:w="2419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排除理由／定位</w:t>
            </w:r>
          </w:p>
        </w:tc>
      </w:tr>
      <w:tr>
        <w:trPr>
          <w:cantSplit/>
        </w:trPr>
        <w:tc>
          <w:tcPr>
            <w:tcW w:type="dxa" w:w="132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____________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____________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____________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____________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有效／排除</w:t>
            </w:r>
          </w:p>
        </w:tc>
        <w:tc>
          <w:tcPr>
            <w:tcW w:type="dxa" w:w="241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325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____________</w:t>
            </w:r>
          </w:p>
        </w:tc>
        <w:tc>
          <w:tcPr>
            <w:tcW w:type="dxa" w:w="151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____________</w:t>
            </w:r>
          </w:p>
        </w:tc>
        <w:tc>
          <w:tcPr>
            <w:tcW w:type="dxa" w:w="151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____________</w:t>
            </w:r>
          </w:p>
        </w:tc>
        <w:tc>
          <w:tcPr>
            <w:tcW w:type="dxa" w:w="151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____________</w:t>
            </w:r>
          </w:p>
        </w:tc>
        <w:tc>
          <w:tcPr>
            <w:tcW w:type="dxa" w:w="144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有效／排除</w:t>
            </w:r>
          </w:p>
        </w:tc>
        <w:tc>
          <w:tcPr>
            <w:tcW w:type="dxa" w:w="2419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325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____________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____________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____________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____________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有效／排除</w:t>
            </w:r>
          </w:p>
        </w:tc>
        <w:tc>
          <w:tcPr>
            <w:tcW w:type="dxa" w:w="241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rPr>
          <w:rFonts w:ascii="Microsoft JhengHei" w:hAnsi="Microsoft JhengHei" w:eastAsia="Microsoft JhengHei"/>
          <w:b/>
          <w:color w:val="17365D"/>
          <w:sz w:val="30"/>
        </w:rPr>
        <w:t>十五、真實替換清單與使用限制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表21｜由示範改為REAL所需的原始來源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5328"/>
        <w:gridCol w:w="2232"/>
      </w:tblGrid>
      <w:tr>
        <w:trPr>
          <w:tblHeader w:val="true"/>
          <w:cantSplit/>
        </w:trPr>
        <w:tc>
          <w:tcPr>
            <w:tcW w:type="dxa" w:w="2160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替換內容</w:t>
            </w:r>
          </w:p>
        </w:tc>
        <w:tc>
          <w:tcPr>
            <w:tcW w:type="dxa" w:w="5328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必需REAL來源</w:t>
            </w:r>
          </w:p>
        </w:tc>
        <w:tc>
          <w:tcPr>
            <w:tcW w:type="dxa" w:w="2232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核對角色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調查批次及日期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實際授權範圍、發放回收時間戳記及匿名清冊。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調查承辦＋覆核者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受訪來源及需求</w:t>
            </w:r>
          </w:p>
        </w:tc>
        <w:tc>
          <w:tcPr>
            <w:tcW w:type="dxa" w:w="532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核實的合作窗口、受訓者、任務角色及可追溯需求來源。</w:t>
            </w:r>
          </w:p>
        </w:tc>
        <w:tc>
          <w:tcPr>
            <w:tcW w:type="dxa" w:w="223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資料責任角色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能力及課程需求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真實任務規範、課程資料、匿名訪談與工作流程。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課程規劃者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原始答案及分析</w:t>
            </w:r>
          </w:p>
        </w:tc>
        <w:tc>
          <w:tcPr>
            <w:tcW w:type="dxa" w:w="532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匿名問卷、有效判定、分母、公式與重算紀錄。</w:t>
            </w:r>
          </w:p>
        </w:tc>
        <w:tc>
          <w:tcPr>
            <w:tcW w:type="dxa" w:w="223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資料整理＋第二位核對者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課程資源及選擇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講師、場地、教材、費用及經授權的方案檢討。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實際授權者及執行者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正式採用及實施</w:t>
            </w:r>
          </w:p>
        </w:tc>
        <w:tc>
          <w:tcPr>
            <w:tcW w:type="dxa" w:w="5328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依章程作成的真實決議、日期、版本及實施紀錄。</w:t>
            </w:r>
          </w:p>
        </w:tc>
        <w:tc>
          <w:tcPr>
            <w:tcW w:type="dxa" w:w="2232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真實權責者；本稿不代製</w:t>
            </w:r>
          </w:p>
        </w:tc>
      </w:tr>
    </w:tbl>
    <w:p>
      <w:pPr>
        <w:spacing w:after="20"/>
      </w:pP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替換示範值後要重新計算，不可複製示範比例當實績。正式核准、簽章、第三方原件及正式送審均不在本示例內。文件狀態：隔離候選工作稿；完整SAMPLE/SYNTHETIC示範；現行調查、課程、決議及實績均UNKNOWN，待真實來源核驗。</w:t>
      </w:r>
    </w:p>
    <w:p>
      <w:pPr>
        <w:widowControl/>
        <w:spacing w:after="100" w:line="264" w:lineRule="auto"/>
      </w:pPr>
      <w:r>
        <w:rPr>
          <w:rFonts w:ascii="Microsoft JhengHei" w:hAnsi="Microsoft JhengHei" w:eastAsia="Microsoft JhengHei"/>
          <w:b w:val="0"/>
          <w:color w:val="243247"/>
          <w:sz w:val="21"/>
        </w:rPr>
        <w:t>由未參與本批資料整理的第二位核對者逐列確認；來源未核實時記下缺失、責任角色及補件期限。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表22｜調查結束前第二人覆核清單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5400"/>
        <w:gridCol w:w="2621"/>
      </w:tblGrid>
      <w:tr>
        <w:trPr>
          <w:tblHeader w:val="true"/>
          <w:cantSplit/>
        </w:trPr>
        <w:tc>
          <w:tcPr>
            <w:tcW w:type="dxa" w:w="1699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覆核項目</w:t>
            </w:r>
          </w:p>
        </w:tc>
        <w:tc>
          <w:tcPr>
            <w:tcW w:type="dxa" w:w="5400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第二人逐項確認</w:t>
            </w:r>
          </w:p>
        </w:tc>
        <w:tc>
          <w:tcPr>
            <w:tcW w:type="dxa" w:w="2621"/>
            <w:vAlign w:val="center"/>
            <w:shd w:fill="17365D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核對位置／缺失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□ 官方要求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確認本件只對應I07-E01需求調查規劃；不代替0032或0034。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頁碼及需求原件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□ 三類來源</w:t>
            </w:r>
          </w:p>
        </w:tc>
        <w:tc>
          <w:tcPr>
            <w:tcW w:type="dxa" w:w="540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分列合作窗口、預定受訓者及任務角色的邀請、回覆與有效數。</w:t>
            </w:r>
          </w:p>
        </w:tc>
        <w:tc>
          <w:tcPr>
            <w:tcW w:type="dxa" w:w="2621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匿名清冊與分母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□ 樣本界線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目的樣本只描述已收樣本；未回覆不當作無需求。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限制敘述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□ 自願與隱私</w:t>
            </w:r>
          </w:p>
        </w:tc>
        <w:tc>
          <w:tcPr>
            <w:tcW w:type="dxa" w:w="540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告知用途、退出、保存；排除不必要敏感識別資料。</w:t>
            </w:r>
          </w:p>
        </w:tc>
        <w:tc>
          <w:tcPr>
            <w:tcW w:type="dxa" w:w="2621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告知文字與實際欄位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□ 有效判定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按預先規則處理缺答；排除保留去識別理由。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逐筆判定及排除理由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□ 分母與算式</w:t>
            </w:r>
          </w:p>
        </w:tc>
        <w:tc>
          <w:tcPr>
            <w:tcW w:type="dxa" w:w="540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邀請、回收、有效數及比例均可由清冊重算。</w:t>
            </w:r>
          </w:p>
        </w:tc>
        <w:tc>
          <w:tcPr>
            <w:tcW w:type="dxa" w:w="2621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公式、N及四捨五入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□ 原始分數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抽核重要度、自評原始列與匿名代碼，不把自評寫成能力證明。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Q04/Q05及矩陣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□ 分析結論</w:t>
            </w:r>
          </w:p>
        </w:tc>
        <w:tc>
          <w:tcPr>
            <w:tcW w:type="dxa" w:w="540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平均、差距、排序與限制可由有效資料重算。</w:t>
            </w:r>
          </w:p>
        </w:tc>
        <w:tc>
          <w:tcPr>
            <w:tcW w:type="dxa" w:w="2621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分析表與計算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□ 課程映射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每項優先需求連到行為目標、練習、評量與判準。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目標及評量對照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□ 權重與方案</w:t>
            </w:r>
          </w:p>
        </w:tc>
        <w:tc>
          <w:tcPr>
            <w:tcW w:type="dxa" w:w="540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權重合計100%；所有加權總分可重算；未採方案有理由。</w:t>
            </w:r>
          </w:p>
        </w:tc>
        <w:tc>
          <w:tcPr>
            <w:tcW w:type="dxa" w:w="2621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比較表及公式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□ 資源與權限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日期、人力、場地、教材及核定權責有真實來源，否則維持待核。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資源核實與授權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□ 示範替換</w:t>
            </w:r>
          </w:p>
        </w:tc>
        <w:tc>
          <w:tcPr>
            <w:tcW w:type="dxa" w:w="5400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SAMPLE/SYNTHETIC值逐項回清冊換成REAL；未完成記缺失與責任者並退補；勾選不等於授權、簽章或第三方原件。</w:t>
            </w:r>
          </w:p>
        </w:tc>
        <w:tc>
          <w:tcPr>
            <w:tcW w:type="dxa" w:w="2621"/>
            <w:vAlign w:val="center"/>
            <w:shd w:fill="F5F8FB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247"/>
                <w:sz w:val="19"/>
              </w:rPr>
              <w:t>本件替換清單及來源定位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879" w:bottom="879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B6573"/>
        <w:sz w:val="16"/>
      </w:rPr>
      <w:t xml:space="preserve">示範資料不代表協會實績　｜　第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5B6573"/>
        <w:sz w:val="16"/>
      </w:rPr>
      <w:t>訓練需求調查規劃與課程目標配適計畫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訓練需求調查規劃與課程目標配適計畫</dc:title>
  <dc:subject>I07-E01</dc:subject>
  <dc:creator>TTQS ONE候選工作稿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