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/>
          <w:b/>
          <w:color w:val="000000"/>
          <w:sz w:val="46"/>
        </w:rPr>
        <w:t>訓練資源採購與甄選管理辦法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4A5E6D"/>
          <w:sz w:val="24"/>
        </w:rPr>
        <w:t>訓練需求到履約結案的作業程序</w:t>
      </w:r>
    </w:p>
    <w:p>
      <w:pPr>
        <w:spacing w:before="0" w:after="12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本件依官方 I10-E01 佐證目的撰寫，說明如何依課程需求選擇師資、教材或合作廠商，並完成評估、採購、簽約、交付驗收與後續管理。案例數字、日期、角色、核定和結果均為 SAMPLE / SYNTHETIC，並非原始點協會實際採購、核准、辦訓或付款紀錄。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248"/>
      </w:tblGrid>
      <w:tr>
        <w:trPr>
          <w:tblHeader w:val="true"/>
          <w:cantSplit/>
        </w:trPr>
        <w:tc>
          <w:tcPr>
            <w:tcW w:type="dxa" w:w="144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文件資訊</w:t>
            </w:r>
          </w:p>
        </w:tc>
        <w:tc>
          <w:tcPr>
            <w:tcW w:type="dxa" w:w="43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424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使用方式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文件對應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DOCX 0045｜I10-E01｜官方方框 047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資源尚未選定、承諾費用或下單前使用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文類與讀者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標準作業程序；課程承辦、評選者、授權核定者及行政記錄人員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依第4章逐步留下需求、比較、核定、契約與履約紀錄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文件狀態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R02 SAMPLE / SYNTHETIC 草案；未生效、未經協會正式核定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先核對章程、實際授權、財務及保存規範，再決定是否採用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完成時應留下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需求與設計依據、資源規格、比較與利益迴避、核定、契約、驗收及績效紀錄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0046 是單案評選紀錄表；本辦法不代替其逐人原始評分</w:t>
            </w:r>
          </w:p>
        </w:tc>
      </w:tr>
    </w:tbl>
    <w:p>
      <w:pPr>
        <w:spacing w:after="20" w:before="20"/>
      </w:pP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30秒使用說明</w:t>
      </w:r>
    </w:p>
    <w:p>
      <w:pPr>
        <w:pStyle w:val="ListBullet"/>
        <w:spacing w:after="60" w:line="25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誰使用：承辦人提出需求並整理資料；未參與提案的評選者依事前公布條件比較；具實際授權的核定者決定是否採購；行政記錄人員保存往來、核定與履約資料。實際姓名、職稱及權限須依協會現行章程與授權文件核對。</w:t>
      </w:r>
    </w:p>
    <w:p>
      <w:pPr>
        <w:pStyle w:val="ListBullet"/>
        <w:spacing w:after="60" w:line="25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何時使用：課程需求與設計已可描述，但尚未選定師資、教材或合作廠商、尚未承諾費用或簽約時。</w:t>
      </w:r>
    </w:p>
    <w:p>
      <w:pPr>
        <w:pStyle w:val="ListBullet"/>
        <w:spacing w:after="60" w:line="25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怎麼使用：確認需求與可用資源，定義規格和預算，事前鎖定評分尺規，蒐集同條件候選資料，完成利益迴避、比較及核定，再依書面約定驗收並記錄改善。</w:t>
      </w:r>
    </w:p>
    <w:p>
      <w:pPr>
        <w:pStyle w:val="ListBullet"/>
        <w:spacing w:after="60" w:line="25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案例界線：第10章以 SYN-045-01 走讀一次。案例不證明協會做過該課程，也不與0044、0046、0047的任何真實個案建立連結。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 目的與官方要求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程序把課程需求轉成可比較的資源條件，並規定評估、採購、簽約和後續管理要留下哪些資料。承辦人按同一套步驟作業，評選者可沿著需求、規格、評分和核定理由追查選擇依據，接手人也能確認交付內容與原約定相符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官方查核佐證文件資料表第3頁的 I10-E01 原文為：「完整文書手冊與紀錄分析相關資料（具體明確紀錄展現課程設計時，有適當的流程進行師資、教材或合作廠商評估選擇，且流程應有適當的辦法進行評估、採購、簽約及後續管理作業流程）。」本程序以作業流程、判斷條件、責任與紀錄欄位回應這項要求；官方原文沒有規定本文件所用的價格級距、權重、分數門檻、年限或組織編制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正式使用前，協會須把示範值換成可核實的章程、授權表、財務流程、課程計畫及紀錄管理規範。未完成核定前，本稿不得當成現行制度、正式採購依據或真實績效證據。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2 適用範圍與名詞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程序適用於為一項已說明的課程需求，選擇外聘師資、教材、場地／技術服務或合作廠商，並管理取得及交付過程。若使用既有免費資源而沒有採購，仍應留下需求、選用理由、權限及交付確認；不需為了套用本程序而虛構報價或契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320"/>
        <w:gridCol w:w="3888"/>
      </w:tblGrid>
      <w:tr>
        <w:trPr>
          <w:tblHeader w:val="true"/>
          <w:cantSplit/>
        </w:trPr>
        <w:tc>
          <w:tcPr>
            <w:tcW w:type="dxa" w:w="187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名詞</w:t>
            </w:r>
          </w:p>
        </w:tc>
        <w:tc>
          <w:tcPr>
            <w:tcW w:type="dxa" w:w="432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本程序的意思</w:t>
            </w:r>
          </w:p>
        </w:tc>
        <w:tc>
          <w:tcPr>
            <w:tcW w:type="dxa" w:w="388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操作時確認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課程需求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由對象、任務、已知落差、學習目標與預期交付內容構成的需求描述。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能指出來源與分母；不把未查證的推測寫成調查結果。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資源規格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對師資資格、教材內容、服務範圍、時程、可近用性、資料處理及交付方式的事前要求。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所有候選使用相同規格及詢價條件。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候選方案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可比較的師資／教材／服務組合及其書面回覆。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供應者身分與報價須有原始回覆支持；樣本代碼不是實際供應商。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履約驗收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依契約或訂單逐項比對交付物、數量、時間、品質及未結缺失。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驗收人不以付款或簽收替代品質核對。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事前門檻與實測結果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門檻是選擇或驗收前設定的規則；結果是交付後依原始資料計得的觀察值。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兩者分欄記錄，實測結果不得回頭改寫門檻。</w:t>
            </w:r>
          </w:p>
        </w:tc>
      </w:tr>
    </w:tbl>
    <w:p>
      <w:pPr>
        <w:spacing w:after="20" w:before="20"/>
      </w:pP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3 角色與職務分離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角色按工作責任定義，不預設原始點協會具有特定委員會、員工編制或財務權限。正式上線前，須依現行章程與授權文件把角色映射到實際職務；找不到合法授權者時停止承諾、下單與簽約，交由有權者釐清。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3384"/>
        <w:gridCol w:w="2880"/>
        <w:gridCol w:w="2203"/>
      </w:tblGrid>
      <w:tr>
        <w:trPr>
          <w:tblHeader w:val="true"/>
          <w:cantSplit/>
        </w:trPr>
        <w:tc>
          <w:tcPr>
            <w:tcW w:type="dxa" w:w="1613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38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主要責任</w:t>
            </w:r>
          </w:p>
        </w:tc>
        <w:tc>
          <w:tcPr>
            <w:tcW w:type="dxa" w:w="288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不得單獨完成的事項</w:t>
            </w:r>
          </w:p>
        </w:tc>
        <w:tc>
          <w:tcPr>
            <w:tcW w:type="dxa" w:w="2203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交接紀錄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需求承辦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整理需求來源、課程設計、預算估算與規格；保管原始提案資料。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不得自行完成評分、核定及驗收全部環節。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需求單、課程設計、規格版本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評選者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逐項核對資格與回覆，申報利益關係，依同一量尺評分並寫理由。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有利益衝突者不得評該候選；不得自行改權重或門檻。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迴避聲明、個別評分、比較摘要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授權核定者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核實權限與預算後，核定、退回補件或否決；理由留痕。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不能以口頭同意取代紀錄；無權限者不得代核。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授權依據、核定日期、決定與理由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行政／採購記錄人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整理詢價、往返、訂購／契約、版本、交付及保存索引。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不代替實際簽約者或驗收者，不補造原件。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文件清單、收發日期、版本與存取紀錄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驗收者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依事前條件檢點交付物，記錄缺失、補正及複驗。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不得把尚未補正或未交付項目標為合格。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驗收表、缺失通知、補正與複驗結果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最低分離與RACI：提案者不得獨自評分並核定自己的方案；評選者先揭露利益關係。每案記錄執行(R)、最終負責(A)、諮詢(C)、知會(I)：承辦與獨立評選者列R，僅以有效章程／書面授權核實的職務列A，C/I填實際角色，代理須記錄授權來源、範圍與期限。簽約與驗收分由具權限者處理。此為示範分工，不創設協會權限；人力不足時記錄原因並作第二覆核，無法核實A、代理或第二覆核者時暫停採購。正式使用前核對章程、授權與人力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4 作業流程與判斷點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作業順序如下。需求不明、授權不明、利益衝突未處理、預算不足或契約條件未完成時，不進入下一步。案例中的天數是合成操作目標，只有經正式核定後才成為協會時限。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952"/>
        <w:gridCol w:w="5371"/>
      </w:tblGrid>
      <w:tr>
        <w:trPr>
          <w:tblHeader w:val="true"/>
          <w:cantSplit/>
        </w:trPr>
        <w:tc>
          <w:tcPr>
            <w:tcW w:type="dxa" w:w="1757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步驟與時點</w:t>
            </w:r>
          </w:p>
        </w:tc>
        <w:tc>
          <w:tcPr>
            <w:tcW w:type="dxa" w:w="295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輸入與責任</w:t>
            </w:r>
          </w:p>
        </w:tc>
        <w:tc>
          <w:tcPr>
            <w:tcW w:type="dxa" w:w="5371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操作、判斷與必要紀錄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 形成課程需求</w:t>
              <w:br/>
              <w:t>規格發出前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承辦人；需求來源、受訓對象及課程目標。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記錄來源、樣本數／分母及能力落差；定義學習目標、時數、對象與預期產物。需求不能回溯來源時，標為待確認並停止詢價。輸出：需求與課程設計摘要。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 定義資源規格</w:t>
              <w:br/>
              <w:t>邀請候選前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承辦人擬稿；授權核定者確認預算與權限。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寫明師資資格、教材主題／格式、交付清單、時程、總價包含項目、資料界線、驗收方式及事前量尺。規格須能由候選者回答並在交付時驗收。輸出：同版規格及預算上限。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 蒐集候選方案</w:t>
              <w:br/>
              <w:t>依相同規格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記錄人發出同版邀請；承辦人整理回覆。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示範規則以三個可比較候選為目標。回覆不足時，以相同條件補詢一次；仍不足三個但至少兩個有效者，記錄原因並由有權者事前核准例外；少於兩個有效候選時暫停重尋。單一來源須走有權者書面核准的例外，不由承辦人自行決定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 資格與利益迴避</w:t>
              <w:br/>
              <w:t>評分前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評選者逐人揭露；記錄人留存。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先檢查資格、範圍、時間、價格完整性和必要交付。利益衝突者退出該候選評分並記錄替代評選者；衝突無法排除或關係不明時暫停。輸出：合格名單及迴避紀錄。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 依事前量尺評分</w:t>
              <w:br/>
              <w:t>資料齊備後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無利益衝突的評選者；同一版本資料與量尺。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逐項評1至5分，每分附可核對理由；按第5章公式計算。未過資格或超預算者不進加權比較。保留個別分數及覆核方式，不以口頭平均掩蓋分歧。輸出：個別分數、加權表及推薦理由。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6 核定、採購與簽約</w:t>
              <w:br/>
              <w:t>承諾前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承辦人送件；授權核定者決定；有權簽約者簽署。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核對權限、預算、候選、評分、例外、利益迴避、付款條件與契約標的。核准前不得下單、承諾費用或要求供應者開始履約。契約寫明交付、期限、驗收、變更、資料、取消及補正約定。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7 交付驗收</w:t>
              <w:br/>
              <w:t>每一里程碑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驗收者依契約；供方交付物與實際紀錄。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逐項核對內容、數量、格式、日期與品質。缺失標記不合格，列責任人與補正日期；補正後由驗收者複驗。未結缺失不得關案或請款。輸出：驗收紀錄與缺失處理軌跡。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8 績效與結案</w:t>
              <w:br/>
              <w:t>交付完成後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承辦人彙整；驗收者覆核；記錄人歸檔。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將事前目標與實測值分開記錄；評估準時、交付完整、缺失補正及合作情形。結案核對合約／訂單、核定、驗收、異常處理與適用付款證據索引。缺原件就標示缺件，不以樣本替代。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判斷順序：需求與課程設計可追溯嗎？否，補查來源並暫停；是，資源規格與預算已事前核定嗎？否，退回核定；是，候選資格、利益迴避與價格完整嗎？否，剔除或補件並記錄；是，分數達門檻且授權者核定嗎？否，停止採購或走正式例外程序；是，書面簽約後履約。依契約驗收、關閉必要缺失後才結案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5 評估量尺與計算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本稿用六項事前公布的評估面向示範比較師資、教材或整體服務方案。正式採購前，承辦人依課程設計選用適用條件；若某項不適用，須在邀請候選前說明並調整權重至合計100%，不得收到報價後才改量尺。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477"/>
        <w:gridCol w:w="2448"/>
        <w:gridCol w:w="3067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評估面向與權重</w:t>
            </w:r>
          </w:p>
        </w:tc>
        <w:tc>
          <w:tcPr>
            <w:tcW w:type="dxa" w:w="2477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1至2分</w:t>
            </w:r>
          </w:p>
        </w:tc>
        <w:tc>
          <w:tcPr>
            <w:tcW w:type="dxa" w:w="244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3分</w:t>
            </w:r>
          </w:p>
        </w:tc>
        <w:tc>
          <w:tcPr>
            <w:tcW w:type="dxa" w:w="3067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4至5分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需求與目標符合度</w:t>
              <w:br/>
              <w:t>30%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主要需求未回應，或需大幅改寫課程才可使用。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涵蓋主要目標，但仍有一項需補強。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4分：目標與對象均對應；5分：逐項對應且交付內容可驗收。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師資資格與教學設計</w:t>
              <w:br/>
              <w:t>25%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資格資料不足或設計缺少練習／回饋。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具備所需資格，教學流程可執行。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4分：資格與方法均有佐證；5分：方法、教材與評量完整連到目標。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履約排程與回應</w:t>
              <w:br/>
              <w:t>15%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關鍵時程或責任未確認。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人員、時程與回應方式明確。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4分：節點清楚並留修正時間；5分：風險、代理與補救時程明確。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教材品質與可近用性</w:t>
              <w:br/>
              <w:t>10%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內容、格式或使用條件不符規格。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符合基本內容與格式要求。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4分：可讀、可用且版本可追；5分：另有可近用安排及品質檢查。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含稅交付總價</w:t>
              <w:br/>
              <w:t>10%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超預算或總價缺項即不合格，不計分。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依第5節表6的互斥金額級距給分。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4分或5分依第5節表6的互斥金額級距；低價不代表品質最佳。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風險、資料與服務管理</w:t>
              <w:br/>
              <w:t>10%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資料處理或異常責任未說明。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基本保密、變更與補正方式明確。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4分：資料最小化與補正責任可執行；5分：版本、存取及事件通報明確。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價格以可比較的含稅總價計，包含必要交通、教材、運送、授權及完成規格所需成本。以下是完整、互斥的SAMPLE級距，不是協會現行財務授權或法定採購金額；正式使用時必須由有權者以核定預算及財務規則替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1584"/>
        <w:gridCol w:w="352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可比較總價（新臺幣）</w:t>
            </w:r>
          </w:p>
        </w:tc>
        <w:tc>
          <w:tcPr>
            <w:tcW w:type="dxa" w:w="158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價格分數</w:t>
            </w:r>
          </w:p>
        </w:tc>
        <w:tc>
          <w:tcPr>
            <w:tcW w:type="dxa" w:w="352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處理方式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不高於9,000元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納入總評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高於9,000元且不高於11,000元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納入總評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高於11,000元且不高於13,000元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納入總評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高於13,000元且不高於15,000元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納入總評，且須符合核定預算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高於15,000元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不計分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超出SAMPLE預算上限，不進總評；重新核定後再詢價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加權總分 = Σ（單項權重 × 最終原始分數 ÷ 5）。兩名評選者先獨立評分；每項最終原始分數為兩人分數的算術平均，個別分數與理由均保留，不以事後協商覆寫。權重合計100%，分數範圍1至5，公式理論總分為20至100；依本稿價格門檻通過且價格項至少2分時，最低可能總分為22。示範門檻為70分。每項加權分保留兩位，總分四捨五入至一位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若同分，依事前規則先比較需求符合度加權分，再比較師資資格與教學設計，再比較履約排程與回應。仍同分時暫停決定，由有權核定者依已公告條件寫明理由；不得事後新增條件、抽籤或以未記錄的口頭偏好決定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6 採購與契約控制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205"/>
        <w:gridCol w:w="39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契約／採購欄位</w:t>
            </w:r>
          </w:p>
        </w:tc>
        <w:tc>
          <w:tcPr>
            <w:tcW w:type="dxa" w:w="4205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簽約前必須確認</w:t>
            </w:r>
          </w:p>
        </w:tc>
        <w:tc>
          <w:tcPr>
            <w:tcW w:type="dxa" w:w="3931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交付與變更時的處理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採購標的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課程名稱、師資／教材／服務範圍、數量、格式及不包含事項。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增減以書面變更記錄，重估費用與時程後由有權者核准。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價格與付款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含稅總價、分項價格、付款條件、請款文件及預算來源。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只依真實契約及驗收資料處理；示範稿不是發票或付款憑證。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時程與責任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準備、授課、教材交付、回覆、補正及各方窗口。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延期並列原定與實際日期、影響、替代安排及核定。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驗收與缺失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交付清單、合格條件、檢查方式、補正期限及複驗責任。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逐項留存結果、證據位置、缺失通知、補正及複驗。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資料與教材使用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個資範圍、存取、交付格式、保存／刪除責任及教材授權。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只依已核實的授權與契約處理，不推定可公開或可轉授權。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取消與爭議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取消、替代師資、不可交付、通報及聯絡方式。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先處理課程與受訓者影響，再由有權者依真實約定決定。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核定及契約文件須由實際具權限者簽署。權限來源、簽署人或原件尚未核實時，標示待核實；不得以示範核定欄、合成編號或文字簽名代替正式簽章。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7 交付驗收與履約管理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驗收前把契約約定轉成逐項檢查表。驗收者查看交付物本身及可用的收件／授課紀錄，記錄檢查日期、結果、缺失、責任人、期限及複驗。補正項目保留初檢結果與修正軌跡，不覆寫初次檢查。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744"/>
        <w:gridCol w:w="4392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74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事前驗收標準</w:t>
            </w:r>
          </w:p>
        </w:tc>
        <w:tc>
          <w:tcPr>
            <w:tcW w:type="dxa" w:w="43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證據與不合格處理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師資／服務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符合契約所列人員、時數、課程目標與服務內容。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用真實課表、授課紀錄和聯繫資料核對；變更須先核准。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教材／資源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版本、數量、內容、格式、可讀性與授權符合規格。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記版本及數量；缺頁、錯版或無法使用時列缺失，補正後複驗。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時程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在約定日期完成各節點。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並列原定與實際日期，計算逾期日數；例外附原因及核定。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品質與回饋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依事前定義的工具收集回饋，保留分母與原始彙總。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計算有效份數／邀請份數及平均；缺資料標UNKNOWN，不補估。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缺失結案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重大缺失已處理，其他未結項目有核定責任與期限。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必要補正未完成時不作最終驗收；付款依正式契約及權限處理。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至少分開看三件事：事前目標是否清楚、交付是否符合約定、實測結果如何。例：滿意度目標4.0／5是事前門檻，4.2／5是依有效問卷計出的結果；實測值不得回填成目標。教材合格比例須有合格件數、檢查總件數和判準，不能把完成檢查誤稱教材品質得分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8 例外與升級處理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032"/>
        <w:gridCol w:w="3816"/>
      </w:tblGrid>
      <w:tr>
        <w:trPr>
          <w:tblHeader w:val="true"/>
          <w:cantSplit/>
        </w:trPr>
        <w:tc>
          <w:tcPr>
            <w:tcW w:type="dxa" w:w="223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403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立即處理與紀錄</w:t>
            </w:r>
          </w:p>
        </w:tc>
        <w:tc>
          <w:tcPr>
            <w:tcW w:type="dxa" w:w="3816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停止／升級條件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候選不足或回覆不可比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同版補詢一次，列聯繫對象、日期、缺件及未回覆。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少於兩個有效方案時停止；單一來源須有權者事前書面核准。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利益衝突或關係未明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評選者揭露並退出該候選評分；記錄替代評選者。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無獨立評選或衝突無法控制時暫停。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總價超過預算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不刪除必要需求以讓價格表面合格；重新估算或修訂規格。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有權者未重新核定前不得採購或簽約。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交付延誤或品質缺失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保留原期限、實況、影響、通知、補正及複驗。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可能影響開課或資料安全時立即通知授權者並處理替代方案。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個資、教材權利或資料事件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限制存取，保存必要事實並依正式事件流程通報。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處理規範或授權未核實時停止傳送／使用資料。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授權、簽章或原件缺失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標示缺件、所需來源、責任角色與追補狀態。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不得補造簽名、報價、契約、發票、核准或第三方證明。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例如兩個工作日內回覆一般補件、重大交付異常當日通報，只有在正式核定後才可成為協會時限。示範稿不自行賦予協會法定期限或內規。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9 紀錄、存取與檢討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608"/>
        <w:gridCol w:w="3312"/>
      </w:tblGrid>
      <w:tr>
        <w:trPr>
          <w:tblHeader w:val="true"/>
          <w:cantSplit/>
        </w:trPr>
        <w:tc>
          <w:tcPr>
            <w:tcW w:type="dxa" w:w="216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</w:t>
            </w:r>
          </w:p>
        </w:tc>
        <w:tc>
          <w:tcPr>
            <w:tcW w:type="dxa" w:w="460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最低欄位</w:t>
            </w:r>
          </w:p>
        </w:tc>
        <w:tc>
          <w:tcPr>
            <w:tcW w:type="dxa" w:w="33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保管與替換來源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需求與課程設計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來源、日期、對象、分母、落差、目標、時數與需求核定。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保存原始調查／訪談或正式需求資料；合成案例不當真實調查。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資源規格與詢價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版本、預算、條件、邀請對象、發送／回覆日期及報價明細。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保存原始詢價與回覆；核對總價含稅、交通、教材及服務。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評估與核定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利益揭露、個別分數、理由、公式、例外、推薦及授權。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保留原始分數與修正軌跡；0046是同要求單案評選表。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採購與履約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訂單／契約、標的、金額、里程碑、變更、交付、驗收及缺失閉環。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由有權來源取得原件；不能公開的原件留在授權位置並記索引。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績效與結案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目標、實測、分子分母、日期、限制、結案核對與改善事項。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承辦人彙整、驗收者覆核，依正式紀錄規範存取與保存。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本稿不替協會指定正式保存年限。第10章的五年只是合成示範參數，須用協會已核定且適用的保存規範替換；未取得規範前，不得宣稱五年是法律、政府或TTQS要求。存取以工作所需為限，公開資料前確認權限。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結案後可依真實資料統計準時交付率、完整驗收率、缺失補正時間與有效回饋率。指標須寫明分子、分母及期間；樣本小時同時列件數。跨年度制度檢討屬0047 I10-E02，不由本件虛構多年成果。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10 完整合成案例走讀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以下案例只演示本程序如何從需求走到履約檢查。SYN-045-01 與0044、0046、0047或任何真實課程都沒有已核實的連結。日期、角色、候選資料、評分、核定及交付結果均為虛構；示範核定不是原始點協會的決議。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10.1 課程需求與規格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680"/>
        <w:gridCol w:w="3312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68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/ SYNTHETIC 案例內容</w:t>
            </w:r>
          </w:p>
        </w:tc>
        <w:tc>
          <w:tcPr>
            <w:tcW w:type="dxa" w:w="33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核對方式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案例與課程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SYN-045-01｜志工服務溝通與紀錄整理工作坊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合成代碼；不是協會實際課程名稱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需求來源與日期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模擬盤點日2026-05-04；12位預定參與者。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合成盤點表；正式使用需真實需求原件與分母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能力落差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8／12尚需練習服務紀錄撰寫；7／12尚需練習個資情境判斷。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兩項各自以12為分母，不是互斥人數；不得相加為15人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目標與設計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12小時、兩次各6小時；練習情境紀錄、回饋修訂及個資判斷。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合成規格；正式目標需由真實權責人核定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預算與總價口徑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示範上限新臺幣15,000元；總價含稅、交通、教材及交付。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不是協會現行預算或財務核決門檻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時程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詢價05-06；收件05-11；評分05-12；案例核定05-15；簽約05-18；授課06-01及06-08；結案檢視06-22，均為2026年。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全為合成日期；簽署或付款原件不存在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案例資源規格要求：師資帶領志工情境演練；兩次共12小時；課前交付流程及教材樣稿；提供12份最終教材；教材包含紀錄練習與個資情境；開課前完成修正；全案含稅總價不超過15,000元。每個候選依相同規格回覆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10.2 合格檢查與候選方案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5328"/>
        <w:gridCol w:w="1512"/>
        <w:gridCol w:w="2016"/>
      </w:tblGrid>
      <w:tr>
        <w:trPr>
          <w:tblHeader w:val="true"/>
          <w:cantSplit/>
        </w:trPr>
        <w:tc>
          <w:tcPr>
            <w:tcW w:type="dxa" w:w="122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合成候選</w:t>
            </w:r>
          </w:p>
        </w:tc>
        <w:tc>
          <w:tcPr>
            <w:tcW w:type="dxa" w:w="532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資源組合與回覆摘要</w:t>
            </w:r>
          </w:p>
        </w:tc>
        <w:tc>
          <w:tcPr>
            <w:tcW w:type="dxa" w:w="15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含稅總價</w:t>
            </w:r>
          </w:p>
        </w:tc>
        <w:tc>
          <w:tcPr>
            <w:tcW w:type="dxa" w:w="2016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門檻檢查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方案A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師資A、教材A；主題符合，個資案例較少；回覆兩次授課時段及教材交付。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14,000元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資格、時程、交付符合；價格級距2分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方案B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師資B與共同備課教材；逐項回應兩項能力落差，列出流程、教材樣稿、修訂節點及授課時段。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12,000元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資格、時程、交付符合；價格級距3分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方案C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師資C與教材套件；成本最低，紀錄練習充足，但個資情境及課後修訂說明較少。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9,000元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資格、時程、交付符合；價格級距5分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三份候選回覆及證明文件都是案例中的合成材料，不是真實廠商報價。案例假設兩名合成評選者E01、E02均先完成利益揭露且無需迴避；代碼及申報都不是真實協會紀錄。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10.3 評分與計算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下表列兩位評選者各項分數的算術平均；下一表保留E01與E02的原始分數及理由。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979"/>
        <w:gridCol w:w="979"/>
        <w:gridCol w:w="979"/>
        <w:gridCol w:w="491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面向／權重</w:t>
            </w:r>
          </w:p>
        </w:tc>
        <w:tc>
          <w:tcPr>
            <w:tcW w:type="dxa" w:w="979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方案A</w:t>
            </w:r>
          </w:p>
        </w:tc>
        <w:tc>
          <w:tcPr>
            <w:tcW w:type="dxa" w:w="979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方案B</w:t>
            </w:r>
          </w:p>
        </w:tc>
        <w:tc>
          <w:tcPr>
            <w:tcW w:type="dxa" w:w="979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方案C</w:t>
            </w:r>
          </w:p>
        </w:tc>
        <w:tc>
          <w:tcPr>
            <w:tcW w:type="dxa" w:w="491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計分依據摘要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需求符合度30%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A逐項涵蓋；B涵蓋主要需求；C個資情境較少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師資與教學25%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B的練習、回饋與目標連結完整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排程與回應15%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B列兩次時段、交付和修訂節點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教材與可近用10%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B樣稿符合格式並列版本修訂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含稅總價10%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依9,000／11,000／13,000／15,000元互斥級距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風險與服務10%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B列資料界線與補正方式；C未充分說明補正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加權總分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82.0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88.0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77.0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權重×原始分÷5後加總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示範門檻70分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通過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通過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通過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僅為案例門檻，不是現行核定標準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下表保留兩名評選者的原始分數。每一列的最終分數等於E01與E02之和除以2；個別理由有差異時也保留差異，不把平均值說成兩人原本給出相同分數。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901"/>
        <w:gridCol w:w="792"/>
        <w:gridCol w:w="792"/>
        <w:gridCol w:w="792"/>
        <w:gridCol w:w="5011"/>
      </w:tblGrid>
      <w:tr>
        <w:trPr>
          <w:tblHeader w:val="true"/>
          <w:cantSplit/>
        </w:trPr>
        <w:tc>
          <w:tcPr>
            <w:tcW w:type="dxa" w:w="7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</w:t>
            </w:r>
          </w:p>
        </w:tc>
        <w:tc>
          <w:tcPr>
            <w:tcW w:type="dxa" w:w="1901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評估面向</w:t>
            </w:r>
          </w:p>
        </w:tc>
        <w:tc>
          <w:tcPr>
            <w:tcW w:type="dxa" w:w="7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E01</w:t>
            </w:r>
          </w:p>
        </w:tc>
        <w:tc>
          <w:tcPr>
            <w:tcW w:type="dxa" w:w="7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E02</w:t>
            </w:r>
          </w:p>
        </w:tc>
        <w:tc>
          <w:tcPr>
            <w:tcW w:type="dxa" w:w="7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5011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依據與差異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需求符合度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兩項需求均有對應練習與教材。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師資與教學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資格資料及教學流程符合規格。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排程與回應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列兩次時段及交付；修訂節點說明較少，保留兩人原分。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教材與可近用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格式符合要求，版本與可近用安排一般。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14,000元落在高於13,000元且不高於15,000元區間。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風險與服務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有資料處理與補正說明；兩人對細節充分度判斷不同。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需求符合度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主要需求均回應，尚有一項可再補強。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師資與教學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教學方法、教材與評量完整連到目標。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排程與回應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兩次時段、交付及修訂節點均明確。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教材與可近用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樣稿、版本修訂及可近用安排均列明。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12,000元落在高於11,000元且不高於13,000元區間。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風險與服務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資料界線與補正責任可執行。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需求符合度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有紀錄練習但個資情境較少，兩人對覆蓋程度評分不同。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師資與教學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資格與基本教學流程符合。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排程與回應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時段可行但修訂與回覆節點較少。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教材與可近用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教材內容充足，可近用及版本維護說明較少。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9,000元不高於最低價格級距。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風險與服務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具基本服務說明，補正細節有限。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逐步重算：方案B = (30×4÷5) + (25×5÷5) + (15×5÷5) + (10×5÷5) + (10×3÷5) + (10×4÷5) = 24 + 25 + 15 + 10 + 6 + 8 = 88.0。方案A = 30 + 20 + 12 + 8 + 4 + 8 = 82.0；方案C = 24 + 20 + 9 + 8 + 10 + 6 = 77.0。權重合計100；三案均高於70分案例門檻。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案例推薦方案B，因總分88.0最高且符合資格、排程、交付和價格條件。方案C雖最便宜，不能只按最低價選定；方案B的優勢來自需求、教學、教材及補正安排。推薦與核定均非協會真實決議。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10.4 回饋與案例結案判斷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112"/>
        <w:gridCol w:w="3024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日期／事件</w:t>
            </w:r>
          </w:p>
        </w:tc>
        <w:tc>
          <w:tcPr>
            <w:tcW w:type="dxa" w:w="51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合成紀錄內容</w:t>
            </w:r>
          </w:p>
        </w:tc>
        <w:tc>
          <w:tcPr>
            <w:tcW w:type="dxa" w:w="302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結果與限制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2026-05-12評分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兩名合成評選者依同版量尺獨立評分，保留原始分數與理由。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方案B 88.0分；合成案例假設無利益衝突；非真實評選紀錄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2026-05-15核定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合成角色A01依本案例設定確認推薦方案及15,000元上限。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流程演示；沒有真人核定、簽章或組織授權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2026-05-18契約條件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合成代碼SYN-CT-045-01；總價12,000元；兩次各6小時、12份教材及開課前修訂。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不是契約、報價、發票或付款證明；未有真實用印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2026-05-29教材初檢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合成檢查發現兩份樣張頁碼索引未更新，通知方案B修正。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一項可補正缺失；保留初檢結果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2026-05-30複驗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合成複驗確認12份最終教材頁碼一致，課程流程及個資情境已納入。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示範缺失閉環；非真實收件或驗收紀錄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2026-06-01及06-08授課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兩次各6小時，合計12／12約定小時；12／12份最終教材可用。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純合成情境，不證明協會曾辦訓或實際交付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2026-06-22結案檢視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10／12份有效回饋；4人給5分、4人給4分、2人給3分。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平均4.2／5；有效回覆率83.3%；純合成示例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回饋計算：有效回覆率 = 10 ÷ 12 × 100% = 83.3%（四捨五入到小數一位）；平均滿意度 = (4×5 + 4×4 + 2×3) ÷ 10 = 42 ÷ 10 = 4.2／5。案例預設事前目標至少4.0／5，因此4.2／5在本合成案例達到示範目標。問卷分數不是實際參與者資料。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案例結案判斷：授課完成12／12小時，最終教材完成12／12份，一項頁碼缺失在授課前複驗關閉，有效問卷10／12，平均4.2／5高於案例事前目標4.0／5。這只演示如何判斷；付款、簽約、授權及原件均須由真實來源核實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10.5 案例參數與正式替換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權重、70分門檻、價格級距、15,000元上限、4.0／5回饋目標及五年示範保存期都是未核定的合成參數，並非官方要求或協會現行制度。五年只展示如何登錄保存參數，不主張任何法律或政府依據。逐項替換來源、定位及責任角色見本封包的SYNTHETIC_REPLACEMENT_REGISTER_R02.csv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11 表單與檢查清單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正式採購時，承辦人至少確認下列欄位完整。單案的候選與個別評分填入0046《師資教材廠商評選紀錄表》；本節只列程序必要控制，不複製0046的完整表單。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357"/>
        <w:gridCol w:w="2923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5357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必填檢查欄位</w:t>
            </w:r>
          </w:p>
        </w:tc>
        <w:tc>
          <w:tcPr>
            <w:tcW w:type="dxa" w:w="2923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完成判斷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需求與設計</w:t>
            </w:r>
          </w:p>
        </w:tc>
        <w:tc>
          <w:tcPr>
            <w:tcW w:type="dxa" w:w="53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來源／日期／分母；能力落差；學習目標；時數與對象；資源必要性。</w:t>
            </w:r>
          </w:p>
        </w:tc>
        <w:tc>
          <w:tcPr>
            <w:tcW w:type="dxa" w:w="29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每項需求有來源，且連到資源規格與驗收條件。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詢價與比較</w:t>
            </w:r>
          </w:p>
        </w:tc>
        <w:tc>
          <w:tcPr>
            <w:tcW w:type="dxa" w:w="53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同版規格；候選來源；回覆日期；總價範圍；資格；利益揭露；事前權重與門檻。</w:t>
            </w:r>
          </w:p>
        </w:tc>
        <w:tc>
          <w:tcPr>
            <w:tcW w:type="dxa" w:w="29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資料可比較；例外已由有權者事前核定。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核定與採購</w:t>
            </w:r>
          </w:p>
        </w:tc>
        <w:tc>
          <w:tcPr>
            <w:tcW w:type="dxa" w:w="53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推薦理由；預算來源；授權依據；核定職務／日期／決定；訂購或契約版本。</w:t>
            </w:r>
          </w:p>
        </w:tc>
        <w:tc>
          <w:tcPr>
            <w:tcW w:type="dxa" w:w="29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正式權限及原件可核對；缺件時不承諾。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驗收與結案</w:t>
            </w:r>
          </w:p>
        </w:tc>
        <w:tc>
          <w:tcPr>
            <w:tcW w:type="dxa" w:w="53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約定與實際值；交付證據；分子分母；缺失與複驗；結案及保存位置。</w:t>
            </w:r>
          </w:p>
        </w:tc>
        <w:tc>
          <w:tcPr>
            <w:tcW w:type="dxa" w:w="29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必要缺失已關閉或由有權者作成具理由處置，原件可追溯。</w:t>
            </w:r>
          </w:p>
        </w:tc>
      </w:tr>
    </w:tbl>
    <w:p>
      <w:pPr>
        <w:spacing w:after="20" w:before="20"/>
      </w:pP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12 相關文件與工作界線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4032"/>
        <w:gridCol w:w="3528"/>
      </w:tblGrid>
      <w:tr>
        <w:trPr>
          <w:tblHeader w:val="true"/>
          <w:cantSplit/>
        </w:trPr>
        <w:tc>
          <w:tcPr>
            <w:tcW w:type="dxa" w:w="252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03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對應工作</w:t>
            </w:r>
          </w:p>
        </w:tc>
        <w:tc>
          <w:tcPr>
            <w:tcW w:type="dxa" w:w="352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本件如何銜接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0045｜I10-E01｜訓練資源採購與甄選管理辦法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本SOP的需求、評估、採購、簽約與後續管理。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本件主文，規定制度流程及判斷控制。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0046｜I10-E01｜師資教材廠商評選紀錄表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一個採購案的候選、個別評分、理由與核定索引。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依本程序填單案紀錄；兩件文類不同。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0047｜I10-E02｜採購簽約與後續管理檢討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跨年度檢討、趨勢比較及制度改善分析。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本件保存單案結果供後續分析，不代替多年檢討。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0044｜I09-E04｜討論會議或電子郵件完整紀錄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會議及郵件內容、簽核與存檔紀錄。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採購往來依正式規範歸檔，本件不代替原始紀錄。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遮住標題及編號後，本件仍可由需求、規格、候選評估、授權採購、契約、驗收及履約檢討的完整流程辨識為採購與甄選管理程序。0044、0046、0047各有不同工作物；共用資料時引用來源索引，不複製其正文或虛構同一案例關聯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13 版本修訂紀錄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656"/>
        <w:gridCol w:w="5112"/>
        <w:gridCol w:w="2160"/>
      </w:tblGrid>
      <w:tr>
        <w:trPr>
          <w:tblHeader w:val="true"/>
          <w:cantSplit/>
        </w:trPr>
        <w:tc>
          <w:tcPr>
            <w:tcW w:type="dxa" w:w="115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656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1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修訂內容</w:t>
            </w:r>
          </w:p>
        </w:tc>
        <w:tc>
          <w:tcPr>
            <w:tcW w:type="dxa" w:w="216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核定狀態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R01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2026-10-17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依I10-E01及Unique Blueprint建立新示範程序，並製作合成案例與逐事實替換簿。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候選草案；未生效、未核定、無簽章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R02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2026-10-17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依R01獨立語意審查修正表格交叉引用、角色RACI與授權代理說明、案例段落標題，並補齊逐事實替換簿欄位。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候選修訂；未生效、未核定、無簽章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E6873"/>
        <w:sz w:val="17"/>
      </w:rPr>
      <w:t xml:space="preserve">0045 R02　｜　未經協會正式核定　｜　第 </w:t>
    </w:r>
    <w:r>
      <w:rPr>
        <w:rFonts w:ascii="Microsoft JhengHei" w:hAnsi="Microsoft JhengHei" w:eastAsia="Microsoft JhengHei"/>
        <w:b w:val="0"/>
        <w:color w:val="5E6873"/>
        <w:sz w:val="17"/>
      </w:rPr>
    </w:r>
    <w:fldSimple w:instr="PAGE"/>
    <w:r>
      <w:rPr>
        <w:rFonts w:ascii="Microsoft JhengHei" w:hAnsi="Microsoft JhengHei" w:eastAsia="Microsoft JhengHei"/>
        <w:b w:val="0"/>
        <w:color w:val="5E68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color w:val="6A737D"/>
        <w:sz w:val="17"/>
      </w:rPr>
      <w:t>SAMPLE / SYNTHETIC　｜　未生效示範稿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</dc:title>
  <dc:subject>DOCX 0045 / I10-E01 / official checkbox 047 / SAMPLE SYNTHETIC candidate R01</dc:subject>
  <dc:creator>TTQS ONE candidate authoring</dc:creator>
  <cp:keywords>SAMPLE; SYNTHETIC; 0045; I10-E01; checkbox 047</cp:keywords>
  <dc:description>Candidate only. No Association approval, procurement, signature, contract, payment, delivery, or actual training is represented.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