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9" w:lineRule="auto"/>
        <w:jc w:val="center"/>
      </w:pPr>
      <w:r>
        <w:rPr>
          <w:rFonts w:ascii="Microsoft JhengHei" w:hAnsi="Microsoft JhengHei" w:eastAsia="Microsoft JhengHei"/>
          <w:b/>
          <w:i w:val="0"/>
          <w:color w:val="17365D"/>
          <w:sz w:val="48"/>
        </w:rPr>
        <w:t>講師遴選與聘任流程範例</w:t>
      </w:r>
    </w:p>
    <w:p>
      <w:pPr>
        <w:spacing w:before="0" w:after="200" w:line="269" w:lineRule="auto"/>
        <w:jc w:val="center"/>
      </w:pPr>
      <w:r>
        <w:rPr>
          <w:rFonts w:ascii="Microsoft JhengHei" w:hAnsi="Microsoft JhengHei" w:eastAsia="Microsoft JhengHei"/>
          <w:b w:val="0"/>
          <w:i w:val="0"/>
          <w:color w:val="356A91"/>
          <w:sz w:val="23"/>
        </w:rPr>
        <w:t>從課程需求、評選量尺、同條件試教、三人比較，到委員會決定與聘書處理的完整示範</w:t>
      </w:r>
    </w:p>
    <w:tbl>
      <w:tblPr>
        <w:tblW w:type="auto" w:w="0"/>
        <w:jc w:val="center"/>
        <w:tblLook w:firstColumn="1" w:firstRow="1" w:lastColumn="0" w:lastRow="0" w:noHBand="0" w:noVBand="1" w:val="04A0"/>
        <w:tblBorders>
          <w:top w:val="single" w:sz="6" w:space="0" w:color="9BB4C7"/>
          <w:left w:val="single" w:sz="6" w:space="0" w:color="9BB4C7"/>
          <w:bottom w:val="single" w:sz="6" w:space="0" w:color="9BB4C7"/>
          <w:right w:val="single" w:sz="6" w:space="0" w:color="9BB4C7"/>
          <w:insideH w:val="single" w:sz="6" w:space="0" w:color="9BB4C7"/>
          <w:insideV w:val="single" w:sz="6" w:space="0" w:color="9BB4C7"/>
        </w:tblBorders>
      </w:tblPr>
      <w:tblGrid>
        <w:gridCol w:w="9890"/>
      </w:tblGrid>
      <w:tr>
        <w:trPr>
          <w:cantSplit/>
        </w:trPr>
        <w:tc>
          <w:tcPr>
            <w:tcW w:type="dxa" w:w="9890"/>
            <w:shd w:fill="FCE4A6"/>
            <w:tcMar>
              <w:top w:w="120" w:type="dxa"/>
              <w:start w:w="150" w:type="dxa"/>
              <w:bottom w:w="120" w:type="dxa"/>
              <w:end w:w="150" w:type="dxa"/>
            </w:tcMar>
          </w:tcPr>
          <w:p>
            <w:pPr>
              <w:spacing w:after="40"/>
            </w:pPr>
            <w:r/>
            <w:r>
              <w:rPr>
                <w:rFonts w:ascii="Microsoft JhengHei" w:hAnsi="Microsoft JhengHei" w:eastAsia="Microsoft JhengHei"/>
                <w:b/>
                <w:i w:val="0"/>
                <w:color w:val="17365D"/>
                <w:sz w:val="19"/>
              </w:rPr>
              <w:t>SAMPLE / SYNTHETIC｜未核准、未發聘、不可作為真實任命證明｜</w:t>
            </w:r>
            <w:r>
              <w:rPr>
                <w:rFonts w:ascii="Microsoft JhengHei" w:hAnsi="Microsoft JhengHei" w:eastAsia="Microsoft JhengHei"/>
                <w:b w:val="0"/>
                <w:i w:val="0"/>
                <w:color w:val="243247"/>
                <w:sz w:val="19"/>
              </w:rPr>
              <w:t>本範例所有人選代碼、分數、評審、資格核驗狀態、會議、決議、日期、費用及聘書文字均為合成示範。原始點協會目前是否設有有效訓練管理委員會、其權限、真實講師與資格、真實核准及聘任均為 UNKNOWN。</w:t>
            </w:r>
          </w:p>
        </w:tc>
      </w:tr>
    </w:tbl>
    <w:p>
      <w:pPr>
        <w:spacing w:after="0"/>
      </w:pPr>
    </w:p>
    <w:p>
      <w:pPr>
        <w:spacing w:before="0" w:after="80" w:line="269" w:lineRule="auto"/>
      </w:pPr>
      <w:r>
        <w:rPr>
          <w:rFonts w:ascii="Microsoft JhengHei" w:hAnsi="Microsoft JhengHei" w:eastAsia="Microsoft JhengHei"/>
          <w:b w:val="0"/>
          <w:i w:val="0"/>
          <w:color w:val="243247"/>
          <w:sz w:val="21"/>
        </w:rPr>
        <w:t>本範例供課程需求提出人、遴選承辦人、評審及具有效授權的決策者使用，說明如何為一門特定課程訂出講師能力需求、以一致且可重算的量尺比較候選人、記錄試教與利益衝突、核對資格與授權，並在取得有權決定後才處理聘書；正文依下方作業順序所標示的章節閱讀。</w:t>
      </w:r>
    </w:p>
    <w:p>
      <w:pPr>
        <w:spacing w:before="0" w:after="80" w:line="269" w:lineRule="auto"/>
      </w:pPr>
      <w:r>
        <w:rPr>
          <w:rFonts w:ascii="Microsoft JhengHei" w:hAnsi="Microsoft JhengHei" w:eastAsia="Microsoft JhengHei"/>
          <w:b w:val="0"/>
          <w:i w:val="0"/>
          <w:color w:val="243247"/>
          <w:sz w:val="21"/>
        </w:rPr>
        <w:t>案例 SYN-0033-PLAN-01｜志工服務紀錄、交接與工作界線實務，合成規劃 360 分鐘（90+90+120+60）；沿用既有合成規劃資料，不表示課程已開辦。</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45"/>
        <w:gridCol w:w="4945"/>
      </w:tblGrid>
      <w:tr>
        <w:trPr>
          <w:tblHeader w:val="true"/>
          <w:cantSplit/>
        </w:trPr>
        <w:tc>
          <w:tcPr>
            <w:tcW w:type="dxa" w:w="331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遴選作業順序與正文位置</w:t>
            </w:r>
          </w:p>
        </w:tc>
        <w:tc>
          <w:tcPr>
            <w:tcW w:type="dxa" w:w="648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形成資料與放行條件</w:t>
            </w:r>
          </w:p>
        </w:tc>
      </w:tr>
      <w:tr>
        <w:trPr>
          <w:cantSplit/>
        </w:trPr>
        <w:tc>
          <w:tcPr>
            <w:tcW w:type="dxa" w:w="3312"/>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建立需求與核對權限（第 2–3 節）</w:t>
            </w:r>
          </w:p>
        </w:tc>
        <w:tc>
          <w:tcPr>
            <w:tcW w:type="dxa" w:w="648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先確認課程職能缺口與決策授權；委員會、評審或簽發權任何一項缺少來源即 HOLD。</w:t>
            </w:r>
          </w:p>
        </w:tc>
      </w:tr>
      <w:tr>
        <w:trPr>
          <w:cantSplit/>
        </w:trPr>
        <w:tc>
          <w:tcPr>
            <w:tcW w:type="dxa" w:w="331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設定量尺並查核候選人（第 4–5、8 節）</w:t>
            </w:r>
          </w:p>
        </w:tc>
        <w:tc>
          <w:tcPr>
            <w:tcW w:type="dxa" w:w="648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使用同一版標準；完成資格、授權與利益衝突檢查，缺原件或未揭露即 HOLD。</w:t>
            </w:r>
          </w:p>
        </w:tc>
      </w:tr>
      <w:tr>
        <w:trPr>
          <w:cantSplit/>
        </w:trPr>
        <w:tc>
          <w:tcPr>
            <w:tcW w:type="dxa" w:w="3312"/>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安排同條件試教並比較（第 6–7 節）</w:t>
            </w:r>
          </w:p>
        </w:tc>
        <w:tc>
          <w:tcPr>
            <w:tcW w:type="dxa" w:w="648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保存觀察依據、三人評分、可重算總分及排序；示例分數只作推薦參考，不等於錄用。</w:t>
            </w:r>
          </w:p>
        </w:tc>
      </w:tr>
      <w:tr>
        <w:trPr>
          <w:cantSplit/>
        </w:trPr>
        <w:tc>
          <w:tcPr>
            <w:tcW w:type="dxa" w:w="331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有權決議後處理聘書（第 9–10 節），再依第 12 節逐筆替換 SAMPLE</w:t>
            </w:r>
          </w:p>
        </w:tc>
        <w:tc>
          <w:tcPr>
            <w:tcW w:type="dxa" w:w="648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先核對有效權限、出席、表決與附件；正式決議、簽發與接受未完成前，不得把聘書當作已發出。</w:t>
            </w:r>
          </w:p>
        </w:tc>
      </w:tr>
    </w:tbl>
    <w:p>
      <w:pPr>
        <w:spacing w:after="0"/>
      </w:pPr>
    </w:p>
    <w:p>
      <w:pPr>
        <w:spacing w:before="0" w:after="80" w:line="269" w:lineRule="auto"/>
      </w:pPr>
      <w:r>
        <w:rPr>
          <w:rFonts w:ascii="Microsoft JhengHei" w:hAnsi="Microsoft JhengHei" w:eastAsia="Microsoft JhengHei"/>
          <w:b w:val="0"/>
          <w:i w:val="0"/>
          <w:color w:val="243247"/>
          <w:sz w:val="21"/>
        </w:rPr>
        <w:t>官方來源定位：訓練品質評核表第 4 頁指標 12c（需求代碼 I12-E03；官方方框 058）：「講師的遴聘依師資遴選標準及流程評選並經訓練管理委員會通過後發給聘書。」</w:t>
      </w:r>
    </w:p>
    <w:p>
      <w:pPr>
        <w:pStyle w:val="Heading1"/>
        <w:keepNext/>
        <w:pageBreakBefore w:val="0"/>
        <w:spacing w:before="200" w:after="100"/>
      </w:pPr>
      <w:r>
        <w:rPr>
          <w:rFonts w:ascii="Microsoft JhengHei" w:hAnsi="Microsoft JhengHei" w:eastAsia="Microsoft JhengHei"/>
          <w:b/>
          <w:i w:val="0"/>
          <w:color w:val="17365D"/>
          <w:sz w:val="32"/>
        </w:rPr>
        <w:t>1｜需求、用途與相鄰需求界線</w:t>
      </w:r>
    </w:p>
    <w:p>
      <w:pPr>
        <w:spacing w:before="0" w:after="100" w:line="269" w:lineRule="auto"/>
      </w:pPr>
      <w:r>
        <w:rPr>
          <w:rFonts w:ascii="Microsoft JhengHei" w:hAnsi="Microsoft JhengHei" w:eastAsia="Microsoft JhengHei"/>
          <w:b w:val="0"/>
          <w:i w:val="0"/>
          <w:color w:val="243247"/>
          <w:sz w:val="21"/>
        </w:rPr>
        <w:t>這份文件要回答：為這一門特定課程，需要什麼講師能力？如何用一致、可重算的標準比較候選人？哪個機關有權決定？核准後如何形成聘任文件？它不是講師授課後的評估、學員招生，也不是設備或場地檢查。</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45"/>
        <w:gridCol w:w="4945"/>
      </w:tblGrid>
      <w:tr>
        <w:trPr>
          <w:tblHeader w:val="true"/>
          <w:cantSplit/>
        </w:trPr>
        <w:tc>
          <w:tcPr>
            <w:tcW w:type="dxa" w:w="338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相鄰需求（需求代碼／官方方框）</w:t>
            </w:r>
          </w:p>
        </w:tc>
        <w:tc>
          <w:tcPr>
            <w:tcW w:type="dxa" w:w="640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本包如何區分</w:t>
            </w:r>
          </w:p>
        </w:tc>
      </w:tr>
      <w:tr>
        <w:trPr>
          <w:cantSplit/>
        </w:trPr>
        <w:tc>
          <w:tcPr>
            <w:tcW w:type="dxa" w:w="338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訓前五項適配檢視與調整（I12-E01／方框 056）</w:t>
            </w:r>
          </w:p>
        </w:tc>
        <w:tc>
          <w:tcPr>
            <w:tcW w:type="dxa" w:w="640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檢視學員、教材、講師、方法與環境／設備的適配並調整；不能代替講師候選人比較與任命。</w:t>
            </w:r>
          </w:p>
        </w:tc>
      </w:tr>
      <w:tr>
        <w:trPr>
          <w:cantSplit/>
        </w:trPr>
        <w:tc>
          <w:tcPr>
            <w:tcW w:type="dxa" w:w="33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學員遴選與教材審查（I12-E02／方框 057）</w:t>
            </w:r>
          </w:p>
        </w:tc>
        <w:tc>
          <w:tcPr>
            <w:tcW w:type="dxa" w:w="640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入班遴選條件與教材審查；不判斷講師資格、試教分數或聘書。</w:t>
            </w:r>
          </w:p>
        </w:tc>
      </w:tr>
      <w:tr>
        <w:trPr>
          <w:cantSplit/>
        </w:trPr>
        <w:tc>
          <w:tcPr>
            <w:tcW w:type="dxa" w:w="338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本包：講師遴選與聘任（I12-E03／官方方框 058）</w:t>
            </w:r>
          </w:p>
        </w:tc>
        <w:tc>
          <w:tcPr>
            <w:tcW w:type="dxa" w:w="640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本包：標準、三人比較、試教、資格／授權／利益衝突核驗、委員會決定、核准後聘書處理。</w:t>
            </w:r>
          </w:p>
        </w:tc>
      </w:tr>
      <w:tr>
        <w:trPr>
          <w:cantSplit/>
        </w:trPr>
        <w:tc>
          <w:tcPr>
            <w:tcW w:type="dxa" w:w="33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設備檢查與場地保險（I12-E05／方框 059）</w:t>
            </w:r>
          </w:p>
        </w:tc>
        <w:tc>
          <w:tcPr>
            <w:tcW w:type="dxa" w:w="640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設備清點與場地投保證明；聘任資料不能代替場地／設備證據。</w:t>
            </w:r>
          </w:p>
        </w:tc>
      </w:tr>
      <w:tr>
        <w:trPr>
          <w:cantSplit/>
        </w:trPr>
        <w:tc>
          <w:tcPr>
            <w:tcW w:type="dxa" w:w="338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單元目標與評量設計（I11-E02／方框 052）</w:t>
            </w:r>
          </w:p>
        </w:tc>
        <w:tc>
          <w:tcPr>
            <w:tcW w:type="dxa" w:w="640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同案例課程單元與評量設計可供對照；不能證明任何一位講師實際授課或表現。</w:t>
            </w:r>
          </w:p>
        </w:tc>
      </w:tr>
    </w:tbl>
    <w:p>
      <w:pPr>
        <w:spacing w:after="0"/>
      </w:pPr>
    </w:p>
    <w:p>
      <w:pPr>
        <w:pStyle w:val="Heading1"/>
        <w:keepNext/>
        <w:pageBreakBefore w:val="0"/>
        <w:spacing w:before="200" w:after="100"/>
      </w:pPr>
      <w:r>
        <w:rPr>
          <w:rFonts w:ascii="Microsoft JhengHei" w:hAnsi="Microsoft JhengHei" w:eastAsia="Microsoft JhengHei"/>
          <w:b/>
          <w:i w:val="0"/>
          <w:color w:val="17365D"/>
          <w:sz w:val="32"/>
        </w:rPr>
        <w:t>2｜合成課程需求與可驗證能力</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97"/>
        <w:gridCol w:w="3297"/>
        <w:gridCol w:w="3297"/>
      </w:tblGrid>
      <w:tr>
        <w:trPr>
          <w:tblHeader w:val="true"/>
          <w:cantSplit/>
        </w:trPr>
        <w:tc>
          <w:tcPr>
            <w:tcW w:type="dxa" w:w="244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需求／職能落差（合成）</w:t>
            </w:r>
          </w:p>
        </w:tc>
        <w:tc>
          <w:tcPr>
            <w:tcW w:type="dxa" w:w="388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本課程講師須可示範的行為</w:t>
            </w:r>
          </w:p>
        </w:tc>
        <w:tc>
          <w:tcPr>
            <w:tcW w:type="dxa" w:w="338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可收集的原始依據</w:t>
            </w:r>
          </w:p>
        </w:tc>
      </w:tr>
      <w:tr>
        <w:trPr>
          <w:cantSplit/>
        </w:trPr>
        <w:tc>
          <w:tcPr>
            <w:tcW w:type="dxa" w:w="24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志工紀錄欄位易漏、事實與推測混寫</w:t>
            </w:r>
          </w:p>
        </w:tc>
        <w:tc>
          <w:tcPr>
            <w:tcW w:type="dxa" w:w="388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示範逐欄填寫；能辨認觀察、引述、推論；使用情境題修正錯誤紀錄。</w:t>
            </w:r>
          </w:p>
        </w:tc>
        <w:tc>
          <w:tcPr>
            <w:tcW w:type="dxa" w:w="33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課程需求摘要、講師既有作品或試教講義；取用與個資授權紀錄。</w:t>
            </w:r>
          </w:p>
        </w:tc>
      </w:tr>
      <w:tr>
        <w:trPr>
          <w:cantSplit/>
        </w:trPr>
        <w:tc>
          <w:tcPr>
            <w:tcW w:type="dxa" w:w="24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交接時責任、期限、未結事項不清</w:t>
            </w:r>
          </w:p>
        </w:tc>
        <w:tc>
          <w:tcPr>
            <w:tcW w:type="dxa" w:w="388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以交接清單說明待辦、責任人、期限、風險和回覆確認。</w:t>
            </w:r>
          </w:p>
        </w:tc>
        <w:tc>
          <w:tcPr>
            <w:tcW w:type="dxa" w:w="33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試教評分表、情境演練觀察紀錄。</w:t>
            </w:r>
          </w:p>
        </w:tc>
      </w:tr>
      <w:tr>
        <w:trPr>
          <w:cantSplit/>
        </w:trPr>
        <w:tc>
          <w:tcPr>
            <w:tcW w:type="dxa" w:w="24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志工容易越過角色界線或傳遞敏感資訊</w:t>
            </w:r>
          </w:p>
        </w:tc>
        <w:tc>
          <w:tcPr>
            <w:tcW w:type="dxa" w:w="388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能辨認何時停止、保護資料並轉介；不以志工課程取代專業服務。</w:t>
            </w:r>
          </w:p>
        </w:tc>
        <w:tc>
          <w:tcPr>
            <w:tcW w:type="dxa" w:w="33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邊界情境試教、資料保護口頭提問及答案紀錄。</w:t>
            </w:r>
          </w:p>
        </w:tc>
      </w:tr>
      <w:tr>
        <w:trPr>
          <w:cantSplit/>
        </w:trPr>
        <w:tc>
          <w:tcPr>
            <w:tcW w:type="dxa" w:w="24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成人學員背景差異大、部分以手機參與</w:t>
            </w:r>
          </w:p>
        </w:tc>
        <w:tc>
          <w:tcPr>
            <w:tcW w:type="dxa" w:w="388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指令分段、使用易讀材料、提供口頭與書面步驟及替代參與方式。</w:t>
            </w:r>
          </w:p>
        </w:tc>
        <w:tc>
          <w:tcPr>
            <w:tcW w:type="dxa" w:w="33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試教可近性觀察表、教材版本與無障礙需求紀錄。</w:t>
            </w:r>
          </w:p>
        </w:tc>
      </w:tr>
    </w:tbl>
    <w:p>
      <w:pPr>
        <w:spacing w:after="0"/>
      </w:pPr>
    </w:p>
    <w:tbl>
      <w:tblPr>
        <w:tblW w:type="auto" w:w="0"/>
        <w:jc w:val="center"/>
        <w:tblLook w:firstColumn="1" w:firstRow="1" w:lastColumn="0" w:lastRow="0" w:noHBand="0" w:noVBand="1" w:val="04A0"/>
        <w:tblBorders>
          <w:top w:val="single" w:sz="6" w:space="0" w:color="9BB4C7"/>
          <w:left w:val="single" w:sz="6" w:space="0" w:color="9BB4C7"/>
          <w:bottom w:val="single" w:sz="6" w:space="0" w:color="9BB4C7"/>
          <w:right w:val="single" w:sz="6" w:space="0" w:color="9BB4C7"/>
          <w:insideH w:val="single" w:sz="6" w:space="0" w:color="9BB4C7"/>
          <w:insideV w:val="single" w:sz="6" w:space="0" w:color="9BB4C7"/>
        </w:tblBorders>
      </w:tblPr>
      <w:tblGrid>
        <w:gridCol w:w="9890"/>
      </w:tblGrid>
      <w:tr>
        <w:trPr>
          <w:cantSplit/>
        </w:trPr>
        <w:tc>
          <w:tcPr>
            <w:tcW w:type="dxa" w:w="9890"/>
            <w:shd w:fill="EAF2F8"/>
            <w:tcMar>
              <w:top w:w="120" w:type="dxa"/>
              <w:start w:w="150" w:type="dxa"/>
              <w:bottom w:w="120" w:type="dxa"/>
              <w:end w:w="150" w:type="dxa"/>
            </w:tcMar>
          </w:tcPr>
          <w:p>
            <w:pPr>
              <w:spacing w:after="40"/>
            </w:pPr>
            <w:r/>
            <w:r>
              <w:rPr>
                <w:rFonts w:ascii="Microsoft JhengHei" w:hAnsi="Microsoft JhengHei" w:eastAsia="Microsoft JhengHei"/>
                <w:b/>
                <w:i w:val="0"/>
                <w:color w:val="17365D"/>
                <w:sz w:val="19"/>
              </w:rPr>
              <w:t>設計決策｜</w:t>
            </w:r>
            <w:r>
              <w:rPr>
                <w:rFonts w:ascii="Microsoft JhengHei" w:hAnsi="Microsoft JhengHei" w:eastAsia="Microsoft JhengHei"/>
                <w:b w:val="0"/>
                <w:i w:val="0"/>
                <w:color w:val="243247"/>
                <w:sz w:val="19"/>
              </w:rPr>
              <w:t>本示範將講師效能拆成五項可觀察能力；講師履歷年資本身不直接等同教學能力。試教使用同一題目、同時長、同一量尺與相同提示，避免只憑印象排序。</w:t>
            </w:r>
          </w:p>
        </w:tc>
      </w:tr>
    </w:tbl>
    <w:p>
      <w:pPr>
        <w:spacing w:after="0"/>
      </w:pPr>
    </w:p>
    <w:p>
      <w:pPr>
        <w:pStyle w:val="Heading1"/>
        <w:keepNext/>
        <w:pageBreakBefore w:val="0"/>
        <w:spacing w:before="200" w:after="100"/>
      </w:pPr>
      <w:r>
        <w:rPr>
          <w:rFonts w:ascii="Microsoft JhengHei" w:hAnsi="Microsoft JhengHei" w:eastAsia="Microsoft JhengHei"/>
          <w:b/>
          <w:i w:val="0"/>
          <w:color w:val="17365D"/>
          <w:sz w:val="32"/>
        </w:rPr>
        <w:t>3｜權限、角色與不可跳過的關卡</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97"/>
        <w:gridCol w:w="3297"/>
        <w:gridCol w:w="3297"/>
      </w:tblGrid>
      <w:tr>
        <w:trPr>
          <w:tblHeader w:val="true"/>
          <w:cantSplit/>
        </w:trPr>
        <w:tc>
          <w:tcPr>
            <w:tcW w:type="dxa" w:w="194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角色</w:t>
            </w:r>
          </w:p>
        </w:tc>
        <w:tc>
          <w:tcPr>
            <w:tcW w:type="dxa" w:w="475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工作與留存紀錄</w:t>
            </w:r>
          </w:p>
        </w:tc>
        <w:tc>
          <w:tcPr>
            <w:tcW w:type="dxa" w:w="302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獨立性／停止條件</w:t>
            </w:r>
          </w:p>
        </w:tc>
      </w:tr>
      <w:tr>
        <w:trPr>
          <w:cantSplit/>
        </w:trPr>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課程需求提出人</w:t>
            </w:r>
          </w:p>
        </w:tc>
        <w:tc>
          <w:tcPr>
            <w:tcW w:type="dxa" w:w="47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說明職能落差、目標、對象及時數；簽名／日期須用真實來源替換。</w:t>
            </w:r>
          </w:p>
        </w:tc>
        <w:tc>
          <w:tcPr>
            <w:tcW w:type="dxa" w:w="302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不得自行宣稱具委員會核准權。</w:t>
            </w:r>
          </w:p>
        </w:tc>
      </w:tr>
      <w:tr>
        <w:trPr>
          <w:cantSplit/>
        </w:trPr>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遴選承辦人</w:t>
            </w:r>
          </w:p>
        </w:tc>
        <w:tc>
          <w:tcPr>
            <w:tcW w:type="dxa" w:w="47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收件、編碼、檢核完整性、安排一致試教、保管檔案與版本。</w:t>
            </w:r>
          </w:p>
        </w:tc>
        <w:tc>
          <w:tcPr>
            <w:tcW w:type="dxa" w:w="302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若同時是候選人或利害關係人，須揭露並退出受影響步驟。</w:t>
            </w:r>
          </w:p>
        </w:tc>
      </w:tr>
      <w:tr>
        <w:trPr>
          <w:cantSplit/>
        </w:trPr>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評審甲／乙／丙</w:t>
            </w:r>
          </w:p>
        </w:tc>
        <w:tc>
          <w:tcPr>
            <w:tcW w:type="dxa" w:w="47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按同一評分表獨立評分，寫具體觀察，揭露利益衝突。</w:t>
            </w:r>
          </w:p>
        </w:tc>
        <w:tc>
          <w:tcPr>
            <w:tcW w:type="dxa" w:w="302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合成案例中的代碼非真實人員；真實名單與資格尚未確認。</w:t>
            </w:r>
          </w:p>
        </w:tc>
      </w:tr>
      <w:tr>
        <w:trPr>
          <w:cantSplit/>
        </w:trPr>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委員會主席／記錄</w:t>
            </w:r>
          </w:p>
        </w:tc>
        <w:tc>
          <w:tcPr>
            <w:tcW w:type="dxa" w:w="47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先核對章程、有效任期、出席及表決規則；記錄討論、決定、反對／迴避、責任與期限。</w:t>
            </w:r>
          </w:p>
        </w:tc>
        <w:tc>
          <w:tcPr>
            <w:tcW w:type="dxa" w:w="302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目前協會是否有該委員會或授權均 UNKNOWN。證據未齊就不得表決或把草稿標為已核准。</w:t>
            </w:r>
          </w:p>
        </w:tc>
      </w:tr>
      <w:tr>
        <w:trPr>
          <w:cantSplit/>
        </w:trPr>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聘任承辦／核准人</w:t>
            </w:r>
          </w:p>
        </w:tc>
        <w:tc>
          <w:tcPr>
            <w:tcW w:type="dxa" w:w="47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依有權決議核定課程、期間、費用及條件，出具並送達聘書，取得回簽。</w:t>
            </w:r>
          </w:p>
        </w:tc>
        <w:tc>
          <w:tcPr>
            <w:tcW w:type="dxa" w:w="302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不可倒填日期；未核准不得發書；真實簽章須由權責者親簽。</w:t>
            </w:r>
          </w:p>
        </w:tc>
      </w:tr>
    </w:tbl>
    <w:p>
      <w:pPr>
        <w:spacing w:after="0"/>
      </w:pPr>
    </w:p>
    <w:p>
      <w:pPr>
        <w:spacing w:before="0" w:after="100" w:line="269" w:lineRule="auto"/>
      </w:pPr>
      <w:r>
        <w:rPr>
          <w:rFonts w:ascii="Microsoft JhengHei" w:hAnsi="Microsoft JhengHei" w:eastAsia="Microsoft JhengHei"/>
          <w:b w:val="0"/>
          <w:i w:val="0"/>
          <w:color w:val="243247"/>
          <w:sz w:val="21"/>
        </w:rPr>
        <w:t>最小權限檢查清單（逐項勾選並附來源）：□ 現行章程／組織規程；□ 委員會設置與任期；□ 委員名冊與迴避規則；□ 決議門檻；□ 課程與費用核定權；□ 聘書簽發權；□ 文件保存與個資存取規則。任何一格缺來源，狀態維持 HOLD。</w:t>
      </w:r>
    </w:p>
    <w:p>
      <w:pPr>
        <w:pStyle w:val="Heading1"/>
        <w:keepNext/>
        <w:pageBreakBefore w:val="0"/>
        <w:spacing w:before="200" w:after="100"/>
      </w:pPr>
      <w:r>
        <w:rPr>
          <w:rFonts w:ascii="Microsoft JhengHei" w:hAnsi="Microsoft JhengHei" w:eastAsia="Microsoft JhengHei"/>
          <w:b/>
          <w:i w:val="0"/>
          <w:color w:val="17365D"/>
          <w:sz w:val="32"/>
        </w:rPr>
        <w:t>4｜標準、量尺、通過門檻與退件規則</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978"/>
        <w:gridCol w:w="1978"/>
        <w:gridCol w:w="1978"/>
        <w:gridCol w:w="1978"/>
        <w:gridCol w:w="1978"/>
      </w:tblGrid>
      <w:tr>
        <w:trPr>
          <w:tblHeader w:val="true"/>
          <w:cantSplit/>
        </w:trPr>
        <w:tc>
          <w:tcPr>
            <w:tcW w:type="dxa" w:w="180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評分面向</w:t>
            </w:r>
          </w:p>
        </w:tc>
        <w:tc>
          <w:tcPr>
            <w:tcW w:type="dxa" w:w="79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權重</w:t>
            </w:r>
          </w:p>
        </w:tc>
        <w:tc>
          <w:tcPr>
            <w:tcW w:type="dxa" w:w="237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0 分錨點</w:t>
            </w:r>
          </w:p>
        </w:tc>
        <w:tc>
          <w:tcPr>
            <w:tcW w:type="dxa" w:w="237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60 分錨點</w:t>
            </w:r>
          </w:p>
        </w:tc>
        <w:tc>
          <w:tcPr>
            <w:tcW w:type="dxa" w:w="237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100 分錨點</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專業內容正確性</w:t>
            </w:r>
          </w:p>
        </w:tc>
        <w:tc>
          <w:tcPr>
            <w:tcW w:type="dxa" w:w="7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25%</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多項關鍵資訊錯誤，或不承認未知。</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主要概念正確，仍有部分例子／界線需釐清。</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內容準確、說明證據界線，能辨認不確定並正確轉介。</w:t>
            </w:r>
          </w:p>
        </w:tc>
      </w:tr>
      <w:tr>
        <w:trPr>
          <w:cantSplit/>
        </w:trPr>
        <w:tc>
          <w:tcPr>
            <w:tcW w:type="dxa" w:w="180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教學示範與引導</w:t>
            </w:r>
          </w:p>
        </w:tc>
        <w:tc>
          <w:tcPr>
            <w:tcW w:type="dxa" w:w="7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25%</w:t>
            </w:r>
          </w:p>
        </w:tc>
        <w:tc>
          <w:tcPr>
            <w:tcW w:type="dxa" w:w="237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未交代目標、步驟或檢核理解。</w:t>
            </w:r>
          </w:p>
        </w:tc>
        <w:tc>
          <w:tcPr>
            <w:tcW w:type="dxa" w:w="237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有基本說明與一個練習，回饋較單向。</w:t>
            </w:r>
          </w:p>
        </w:tc>
        <w:tc>
          <w:tcPr>
            <w:tcW w:type="dxa" w:w="237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目標可觀察、步驟清楚，提問／練習／回饋形成閉環。</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成人志工適配與可近性</w:t>
            </w:r>
          </w:p>
        </w:tc>
        <w:tc>
          <w:tcPr>
            <w:tcW w:type="dxa" w:w="7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20%</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假設所有人背景相同，材料不可讀或參與門檻高。</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可跟上一般學員，少量調整可提供。</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節奏、語言、字級、替代參與及休息安排均具體。</w:t>
            </w:r>
          </w:p>
        </w:tc>
      </w:tr>
      <w:tr>
        <w:trPr>
          <w:cantSplit/>
        </w:trPr>
        <w:tc>
          <w:tcPr>
            <w:tcW w:type="dxa" w:w="180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實務應用與移轉</w:t>
            </w:r>
          </w:p>
        </w:tc>
        <w:tc>
          <w:tcPr>
            <w:tcW w:type="dxa" w:w="7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20%</w:t>
            </w:r>
          </w:p>
        </w:tc>
        <w:tc>
          <w:tcPr>
            <w:tcW w:type="dxa" w:w="237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只有抽象講述，沒有工作情境演練。</w:t>
            </w:r>
          </w:p>
        </w:tc>
        <w:tc>
          <w:tcPr>
            <w:tcW w:type="dxa" w:w="237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有示範與練習，但回到工作後的步驟不完整。</w:t>
            </w:r>
          </w:p>
        </w:tc>
        <w:tc>
          <w:tcPr>
            <w:tcW w:type="dxa" w:w="237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以真實可替換情境練習，提供可執行檢核及回到工作後的追蹤。</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個資、角色與安全界線</w:t>
            </w:r>
          </w:p>
        </w:tc>
        <w:tc>
          <w:tcPr>
            <w:tcW w:type="dxa" w:w="7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10%</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洩露敏感資訊、越權承諾或鼓勵危險做法。</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能說明基本注意事項，但停止／轉介條件不完整。</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最小必要資料、保密、角色界線及停止／轉介點均說清楚。</w:t>
            </w:r>
          </w:p>
        </w:tc>
      </w:tr>
    </w:tbl>
    <w:p>
      <w:pPr>
        <w:spacing w:after="0"/>
      </w:pPr>
    </w:p>
    <w:p>
      <w:pPr>
        <w:spacing w:before="0" w:after="100" w:line="269" w:lineRule="auto"/>
      </w:pPr>
      <w:r>
        <w:rPr>
          <w:rFonts w:ascii="Microsoft JhengHei" w:hAnsi="Microsoft JhengHei" w:eastAsia="Microsoft JhengHei"/>
          <w:b/>
          <w:i w:val="0"/>
          <w:color w:val="243247"/>
          <w:sz w:val="21"/>
        </w:rPr>
        <w:t>評分公式：面向平均＝三位評審原始分數加總 ÷ 3；加權分＝面向平均 × 權重 ÷ 100；總分＝五項加權分總和。面向分數取整數記錄；加權分至小數一位；總分依未四捨五入的平均值計算至小數一位。權重合計 25+25+20+20+10=100%。</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97"/>
        <w:gridCol w:w="3297"/>
        <w:gridCol w:w="3297"/>
      </w:tblGrid>
      <w:tr>
        <w:trPr>
          <w:tblHeader w:val="true"/>
          <w:cantSplit/>
        </w:trPr>
        <w:tc>
          <w:tcPr>
            <w:tcW w:type="dxa" w:w="180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狀態</w:t>
            </w:r>
          </w:p>
        </w:tc>
        <w:tc>
          <w:tcPr>
            <w:tcW w:type="dxa" w:w="532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規則</w:t>
            </w:r>
          </w:p>
        </w:tc>
        <w:tc>
          <w:tcPr>
            <w:tcW w:type="dxa" w:w="259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處置</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通過門檻（合成示例）</w:t>
            </w:r>
          </w:p>
        </w:tc>
        <w:tc>
          <w:tcPr>
            <w:tcW w:type="dxa" w:w="532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總分 ≥80；專業內容正確性、教學示範與引導、成人志工適配與可近性各 ≥75；個資、角色與安全界線 ≥80；無未解利益衝突；資格、授權及原始資料檢核完成；委員會有權且合法開會。</w:t>
            </w:r>
          </w:p>
        </w:tc>
        <w:tc>
          <w:tcPr>
            <w:tcW w:type="dxa" w:w="25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列入可推薦名單；仍須經有權委員會決定。</w:t>
            </w:r>
          </w:p>
        </w:tc>
      </w:tr>
      <w:tr>
        <w:trPr>
          <w:cantSplit/>
        </w:trPr>
        <w:tc>
          <w:tcPr>
            <w:tcW w:type="dxa" w:w="180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HOLD</w:t>
            </w:r>
          </w:p>
        </w:tc>
        <w:tc>
          <w:tcPr>
            <w:tcW w:type="dxa" w:w="532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原件缺漏／未驗證、權限未知、利益衝突未解、評分證據不一致、合理調整未確認。</w:t>
            </w:r>
          </w:p>
        </w:tc>
        <w:tc>
          <w:tcPr>
            <w:tcW w:type="dxa" w:w="25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暫停排序或聘任；列明缺件、責任人及期限；不得先發聘書。</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REJECT</w:t>
            </w:r>
          </w:p>
        </w:tc>
        <w:tc>
          <w:tcPr>
            <w:tcW w:type="dxa" w:w="532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明顯不實資料；重大專業錯誤；安全／個資紅線；門檻未達且無可補正方案。</w:t>
            </w:r>
          </w:p>
        </w:tc>
        <w:tc>
          <w:tcPr>
            <w:tcW w:type="dxa" w:w="25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記錄具體證據與告知／申覆途徑；不得私下刪除不利紀錄。</w:t>
            </w:r>
          </w:p>
        </w:tc>
      </w:tr>
    </w:tbl>
    <w:p>
      <w:pPr>
        <w:spacing w:after="0"/>
      </w:pPr>
    </w:p>
    <w:tbl>
      <w:tblPr>
        <w:tblW w:type="auto" w:w="0"/>
        <w:jc w:val="center"/>
        <w:tblLook w:firstColumn="1" w:firstRow="1" w:lastColumn="0" w:lastRow="0" w:noHBand="0" w:noVBand="1" w:val="04A0"/>
        <w:tblBorders>
          <w:top w:val="single" w:sz="6" w:space="0" w:color="9BB4C7"/>
          <w:left w:val="single" w:sz="6" w:space="0" w:color="9BB4C7"/>
          <w:bottom w:val="single" w:sz="6" w:space="0" w:color="9BB4C7"/>
          <w:right w:val="single" w:sz="6" w:space="0" w:color="9BB4C7"/>
          <w:insideH w:val="single" w:sz="6" w:space="0" w:color="9BB4C7"/>
          <w:insideV w:val="single" w:sz="6" w:space="0" w:color="9BB4C7"/>
        </w:tblBorders>
      </w:tblPr>
      <w:tblGrid>
        <w:gridCol w:w="9890"/>
      </w:tblGrid>
      <w:tr>
        <w:trPr>
          <w:cantSplit/>
        </w:trPr>
        <w:tc>
          <w:tcPr>
            <w:tcW w:type="dxa" w:w="9890"/>
            <w:shd w:fill="FCE4D6"/>
            <w:tcMar>
              <w:top w:w="120" w:type="dxa"/>
              <w:start w:w="150" w:type="dxa"/>
              <w:bottom w:w="120" w:type="dxa"/>
              <w:end w:w="150" w:type="dxa"/>
            </w:tcMar>
          </w:tcPr>
          <w:p>
            <w:pPr>
              <w:spacing w:after="40"/>
            </w:pPr>
            <w:r/>
            <w:r>
              <w:rPr>
                <w:rFonts w:ascii="Microsoft JhengHei" w:hAnsi="Microsoft JhengHei" w:eastAsia="Microsoft JhengHei"/>
                <w:b/>
                <w:i w:val="0"/>
                <w:color w:val="17365D"/>
                <w:sz w:val="19"/>
              </w:rPr>
              <w:t>非補償性條件｜</w:t>
            </w:r>
            <w:r>
              <w:rPr>
                <w:rFonts w:ascii="Microsoft JhengHei" w:hAnsi="Microsoft JhengHei" w:eastAsia="Microsoft JhengHei"/>
                <w:b w:val="0"/>
                <w:i w:val="0"/>
                <w:color w:val="243247"/>
                <w:sz w:val="19"/>
              </w:rPr>
              <w:t>總分再高也不能抵銷資格未核、未授權、無效委員會、未揭露衝突或安全紅線。通過分數只形成推薦依據，不自動等於聘任。</w:t>
            </w:r>
          </w:p>
        </w:tc>
      </w:tr>
    </w:tbl>
    <w:p>
      <w:pPr>
        <w:spacing w:after="0"/>
      </w:pPr>
    </w:p>
    <w:p>
      <w:pPr>
        <w:pStyle w:val="Heading1"/>
        <w:keepNext/>
        <w:pageBreakBefore w:val="0"/>
        <w:spacing w:before="200" w:after="100"/>
      </w:pPr>
      <w:r>
        <w:rPr>
          <w:rFonts w:ascii="Microsoft JhengHei" w:hAnsi="Microsoft JhengHei" w:eastAsia="Microsoft JhengHei"/>
          <w:b/>
          <w:i w:val="0"/>
          <w:color w:val="17365D"/>
          <w:sz w:val="32"/>
        </w:rPr>
        <w:t>5｜候選人收件、資格與衝突核驗</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978"/>
        <w:gridCol w:w="1978"/>
        <w:gridCol w:w="1978"/>
        <w:gridCol w:w="1978"/>
        <w:gridCol w:w="1978"/>
      </w:tblGrid>
      <w:tr>
        <w:trPr>
          <w:tblHeader w:val="true"/>
          <w:cantSplit/>
        </w:trPr>
        <w:tc>
          <w:tcPr>
            <w:tcW w:type="dxa" w:w="172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核驗欄位</w:t>
            </w:r>
          </w:p>
        </w:tc>
        <w:tc>
          <w:tcPr>
            <w:tcW w:type="dxa" w:w="165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C-01（合成）</w:t>
            </w:r>
          </w:p>
        </w:tc>
        <w:tc>
          <w:tcPr>
            <w:tcW w:type="dxa" w:w="165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C-02（合成）</w:t>
            </w:r>
          </w:p>
        </w:tc>
        <w:tc>
          <w:tcPr>
            <w:tcW w:type="dxa" w:w="165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C-03（合成）</w:t>
            </w:r>
          </w:p>
        </w:tc>
        <w:tc>
          <w:tcPr>
            <w:tcW w:type="dxa" w:w="288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真實使用時的原始證據</w:t>
            </w:r>
          </w:p>
        </w:tc>
      </w:tr>
      <w:tr>
        <w:trPr>
          <w:cantSplit/>
        </w:trPr>
        <w:tc>
          <w:tcPr>
            <w:tcW w:type="dxa" w:w="172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履歷／相關經驗</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樣本履歷索引 S-C01</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樣本履歷索引 S-C02</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樣本履歷索引 S-C03</w:t>
            </w:r>
          </w:p>
        </w:tc>
        <w:tc>
          <w:tcPr>
            <w:tcW w:type="dxa" w:w="288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本人提交的履歷、服務證明；逐項標來源及核驗日期。</w:t>
            </w:r>
          </w:p>
        </w:tc>
      </w:tr>
      <w:tr>
        <w:trPr>
          <w:cantSplit/>
        </w:trPr>
        <w:tc>
          <w:tcPr>
            <w:tcW w:type="dxa" w:w="172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專業資格</w:t>
            </w:r>
          </w:p>
        </w:tc>
        <w:tc>
          <w:tcPr>
            <w:tcW w:type="dxa" w:w="165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樣本核驗標記：PASS</w:t>
            </w:r>
          </w:p>
        </w:tc>
        <w:tc>
          <w:tcPr>
            <w:tcW w:type="dxa" w:w="165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樣本核驗標記：PASS</w:t>
            </w:r>
          </w:p>
        </w:tc>
        <w:tc>
          <w:tcPr>
            <w:tcW w:type="dxa" w:w="165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樣本核驗標記：PASS</w:t>
            </w:r>
          </w:p>
        </w:tc>
        <w:tc>
          <w:tcPr>
            <w:tcW w:type="dxa" w:w="288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證照影本與發證機構查驗紀錄；不得只靠自述。</w:t>
            </w:r>
          </w:p>
        </w:tc>
      </w:tr>
      <w:tr>
        <w:trPr>
          <w:cantSplit/>
        </w:trPr>
        <w:tc>
          <w:tcPr>
            <w:tcW w:type="dxa" w:w="172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教學授權／可用時段</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樣本：可配合</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樣本：可配合</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樣本：可配合</w:t>
            </w:r>
          </w:p>
        </w:tc>
        <w:tc>
          <w:tcPr>
            <w:tcW w:type="dxa" w:w="288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本人同意、課程需求與排程確認；不可代替正式聘任。</w:t>
            </w:r>
          </w:p>
        </w:tc>
      </w:tr>
      <w:tr>
        <w:trPr>
          <w:cantSplit/>
        </w:trPr>
        <w:tc>
          <w:tcPr>
            <w:tcW w:type="dxa" w:w="172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利益衝突</w:t>
            </w:r>
          </w:p>
        </w:tc>
        <w:tc>
          <w:tcPr>
            <w:tcW w:type="dxa" w:w="165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樣本：無衝突申報</w:t>
            </w:r>
          </w:p>
        </w:tc>
        <w:tc>
          <w:tcPr>
            <w:tcW w:type="dxa" w:w="165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樣本：無衝突申報</w:t>
            </w:r>
          </w:p>
        </w:tc>
        <w:tc>
          <w:tcPr>
            <w:tcW w:type="dxa" w:w="165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樣本：無衝突申報</w:t>
            </w:r>
          </w:p>
        </w:tc>
        <w:tc>
          <w:tcPr>
            <w:tcW w:type="dxa" w:w="288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本人簽署申報及評審迴避紀錄；未申報先 HOLD。</w:t>
            </w:r>
          </w:p>
        </w:tc>
      </w:tr>
      <w:tr>
        <w:trPr>
          <w:cantSplit/>
        </w:trPr>
        <w:tc>
          <w:tcPr>
            <w:tcW w:type="dxa" w:w="172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個資及作品使用</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樣本：同意限本次遴選</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樣本：同意限本次遴選</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樣本：同意限本次遴選</w:t>
            </w:r>
          </w:p>
        </w:tc>
        <w:tc>
          <w:tcPr>
            <w:tcW w:type="dxa" w:w="288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有日期、用途、保存期與撤回管道的真實授權。</w:t>
            </w:r>
          </w:p>
        </w:tc>
      </w:tr>
    </w:tbl>
    <w:p>
      <w:pPr>
        <w:spacing w:after="0"/>
      </w:pPr>
    </w:p>
    <w:p>
      <w:pPr>
        <w:spacing w:before="0" w:after="100" w:line="269" w:lineRule="auto"/>
      </w:pPr>
      <w:r>
        <w:rPr>
          <w:rFonts w:ascii="Microsoft JhengHei" w:hAnsi="Microsoft JhengHei" w:eastAsia="Microsoft JhengHei"/>
          <w:b/>
          <w:i w:val="0"/>
          <w:color w:val="9C3A22"/>
          <w:sz w:val="21"/>
        </w:rPr>
        <w:t>上表的 PASS 都只是虛構流程欄位值，沒有任何真實證照或查詢結果附在本包。真實承辦人須把狀態改為「已驗證」並附原件位置、驗證人、日期、方式與結果；若不能核對，填「未驗證／HOLD」，不得照抄 PASS。</w:t>
      </w:r>
    </w:p>
    <w:p>
      <w:pPr>
        <w:pStyle w:val="Heading1"/>
        <w:keepNext/>
        <w:pageBreakBefore w:val="0"/>
        <w:spacing w:before="200" w:after="100"/>
      </w:pPr>
      <w:r>
        <w:rPr>
          <w:rFonts w:ascii="Microsoft JhengHei" w:hAnsi="Microsoft JhengHei" w:eastAsia="Microsoft JhengHei"/>
          <w:b/>
          <w:i w:val="0"/>
          <w:color w:val="17365D"/>
          <w:sz w:val="32"/>
        </w:rPr>
        <w:t>6｜一致試教與觀察紀錄</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45"/>
        <w:gridCol w:w="4945"/>
      </w:tblGrid>
      <w:tr>
        <w:trPr>
          <w:tblHeader w:val="true"/>
          <w:cantSplit/>
        </w:trPr>
        <w:tc>
          <w:tcPr>
            <w:tcW w:type="dxa" w:w="180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項目</w:t>
            </w:r>
          </w:p>
        </w:tc>
        <w:tc>
          <w:tcPr>
            <w:tcW w:type="dxa" w:w="792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三位候選人共用條件（合成）</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題目與時長</w:t>
            </w:r>
          </w:p>
        </w:tc>
        <w:tc>
          <w:tcPr>
            <w:tcW w:type="dxa" w:w="79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12 分鐘微型試教：「如何把一筆志工服務紀錄寫成可交接、可查核且不洩露多餘個資的紀錄」。每人同一題目、同一預備時間。</w:t>
            </w:r>
          </w:p>
        </w:tc>
      </w:tr>
      <w:tr>
        <w:trPr>
          <w:cantSplit/>
        </w:trPr>
        <w:tc>
          <w:tcPr>
            <w:tcW w:type="dxa" w:w="180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必備教學元素</w:t>
            </w:r>
          </w:p>
        </w:tc>
        <w:tc>
          <w:tcPr>
            <w:tcW w:type="dxa" w:w="792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開場說明學習目標；用一份合成錯誤紀錄示範修正；帶學員完成一次交接欄位練習；用兩題口頭檢核確認事實／推測及停止／轉介界線。</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共同觀察環境</w:t>
            </w:r>
          </w:p>
        </w:tc>
        <w:tc>
          <w:tcPr>
            <w:tcW w:type="dxa" w:w="79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相同教室／視訊設定、相同投影設備、同一套大字版樣本、相同提問卡；合理調整以不改變評量目的為原則並記錄。</w:t>
            </w:r>
          </w:p>
        </w:tc>
      </w:tr>
      <w:tr>
        <w:trPr>
          <w:cantSplit/>
        </w:trPr>
        <w:tc>
          <w:tcPr>
            <w:tcW w:type="dxa" w:w="180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評審紀錄</w:t>
            </w:r>
          </w:p>
        </w:tc>
        <w:tc>
          <w:tcPr>
            <w:tcW w:type="dxa" w:w="792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三人先獨立填表，記錄可觀察行為或原話；評分後才討論。不得把個人好惡寫成能力結論。</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試教後確認</w:t>
            </w:r>
          </w:p>
        </w:tc>
        <w:tc>
          <w:tcPr>
            <w:tcW w:type="dxa" w:w="79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詢問候選人如何處理錯誤答案、敏感資料、學員不同步及課後移轉；將回答摘要與面向分數分開保存。</w:t>
            </w:r>
          </w:p>
        </w:tc>
      </w:tr>
    </w:tbl>
    <w:p>
      <w:pPr>
        <w:spacing w:after="0"/>
      </w:pP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97"/>
        <w:gridCol w:w="3297"/>
        <w:gridCol w:w="3297"/>
      </w:tblGrid>
      <w:tr>
        <w:trPr>
          <w:tblHeader w:val="true"/>
          <w:cantSplit/>
        </w:trPr>
        <w:tc>
          <w:tcPr>
            <w:tcW w:type="dxa" w:w="172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觀察提示</w:t>
            </w:r>
          </w:p>
        </w:tc>
        <w:tc>
          <w:tcPr>
            <w:tcW w:type="dxa" w:w="432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應記錄的具體證據（例）</w:t>
            </w:r>
          </w:p>
        </w:tc>
        <w:tc>
          <w:tcPr>
            <w:tcW w:type="dxa" w:w="367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不可直接推論</w:t>
            </w:r>
          </w:p>
        </w:tc>
      </w:tr>
      <w:tr>
        <w:trPr>
          <w:cantSplit/>
        </w:trPr>
        <w:tc>
          <w:tcPr>
            <w:tcW w:type="dxa" w:w="172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目標</w:t>
            </w:r>
          </w:p>
        </w:tc>
        <w:tc>
          <w:tcPr>
            <w:tcW w:type="dxa" w:w="43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候選人是否用可觀察動詞說明學員課後要完成什麼。</w:t>
            </w:r>
          </w:p>
        </w:tc>
        <w:tc>
          <w:tcPr>
            <w:tcW w:type="dxa" w:w="367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「看起來很專業」不能代替目標證據。</w:t>
            </w:r>
          </w:p>
        </w:tc>
      </w:tr>
      <w:tr>
        <w:trPr>
          <w:cantSplit/>
        </w:trPr>
        <w:tc>
          <w:tcPr>
            <w:tcW w:type="dxa" w:w="172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示範</w:t>
            </w:r>
          </w:p>
        </w:tc>
        <w:tc>
          <w:tcPr>
            <w:tcW w:type="dxa" w:w="432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是否指出欄位、事實來源、交接責任與完成期限。</w:t>
            </w:r>
          </w:p>
        </w:tc>
        <w:tc>
          <w:tcPr>
            <w:tcW w:type="dxa" w:w="367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投影片漂亮不能代替示範。</w:t>
            </w:r>
          </w:p>
        </w:tc>
      </w:tr>
      <w:tr>
        <w:trPr>
          <w:cantSplit/>
        </w:trPr>
        <w:tc>
          <w:tcPr>
            <w:tcW w:type="dxa" w:w="172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回饋</w:t>
            </w:r>
          </w:p>
        </w:tc>
        <w:tc>
          <w:tcPr>
            <w:tcW w:type="dxa" w:w="43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是否指出錯誤位置、原因及修正方法。</w:t>
            </w:r>
          </w:p>
        </w:tc>
        <w:tc>
          <w:tcPr>
            <w:tcW w:type="dxa" w:w="367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只說「很好」不能證明理解。</w:t>
            </w:r>
          </w:p>
        </w:tc>
      </w:tr>
      <w:tr>
        <w:trPr>
          <w:cantSplit/>
        </w:trPr>
        <w:tc>
          <w:tcPr>
            <w:tcW w:type="dxa" w:w="172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安全界線</w:t>
            </w:r>
          </w:p>
        </w:tc>
        <w:tc>
          <w:tcPr>
            <w:tcW w:type="dxa" w:w="432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是否說明停止蒐集、保護資料並轉介的具體條件。</w:t>
            </w:r>
          </w:p>
        </w:tc>
        <w:tc>
          <w:tcPr>
            <w:tcW w:type="dxa" w:w="367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沒有提到風險，不得記成「無風險」。</w:t>
            </w:r>
          </w:p>
        </w:tc>
      </w:tr>
    </w:tbl>
    <w:p>
      <w:pPr>
        <w:spacing w:after="0"/>
      </w:pPr>
    </w:p>
    <w:p>
      <w:pPr>
        <w:pStyle w:val="Heading1"/>
        <w:keepNext/>
        <w:pageBreakBefore w:val="0"/>
        <w:spacing w:before="200" w:after="100"/>
      </w:pPr>
      <w:r>
        <w:rPr>
          <w:rFonts w:ascii="Microsoft JhengHei" w:hAnsi="Microsoft JhengHei" w:eastAsia="Microsoft JhengHei"/>
          <w:b/>
          <w:i w:val="0"/>
          <w:color w:val="17365D"/>
          <w:sz w:val="32"/>
        </w:rPr>
        <w:t>7｜三人三評審比較與可重算結果</w:t>
      </w:r>
    </w:p>
    <w:p>
      <w:pPr>
        <w:spacing w:before="0" w:after="100" w:line="269" w:lineRule="auto"/>
      </w:pPr>
      <w:r>
        <w:rPr>
          <w:rFonts w:ascii="Microsoft JhengHei" w:hAnsi="Microsoft JhengHei" w:eastAsia="Microsoft JhengHei"/>
          <w:b w:val="0"/>
          <w:i w:val="0"/>
          <w:color w:val="243247"/>
          <w:sz w:val="21"/>
        </w:rPr>
        <w:t>以下是依相同量尺完成的虛構評分示例。評審甲、乙、丙為示範角色代碼，不代表協會人員。各面向原始分數範圍 0–100。</w:t>
      </w:r>
    </w:p>
    <w:p>
      <w:pPr>
        <w:pStyle w:val="Heading2"/>
        <w:keepNext/>
        <w:pageBreakBefore w:val="0"/>
        <w:spacing w:before="140" w:after="100"/>
      </w:pPr>
      <w:r>
        <w:rPr>
          <w:rFonts w:ascii="Microsoft JhengHei" w:hAnsi="Microsoft JhengHei" w:eastAsia="Microsoft JhengHei"/>
          <w:b/>
          <w:i w:val="0"/>
          <w:color w:val="17365D"/>
          <w:sz w:val="24"/>
        </w:rPr>
        <w:t>C-01｜候選評分分解（SAMPLE）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978"/>
        <w:gridCol w:w="1978"/>
        <w:gridCol w:w="1978"/>
        <w:gridCol w:w="1978"/>
        <w:gridCol w:w="1978"/>
      </w:tblGrid>
      <w:tr>
        <w:trPr>
          <w:tblHeader w:val="true"/>
          <w:cantSplit/>
        </w:trPr>
        <w:tc>
          <w:tcPr>
            <w:tcW w:type="dxa" w:w="309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評分面向</w:t>
            </w:r>
          </w:p>
        </w:tc>
        <w:tc>
          <w:tcPr>
            <w:tcW w:type="dxa" w:w="93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權重%</w:t>
            </w:r>
          </w:p>
        </w:tc>
        <w:tc>
          <w:tcPr>
            <w:tcW w:type="dxa" w:w="194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評審甲／乙／丙</w:t>
            </w:r>
          </w:p>
        </w:tc>
        <w:tc>
          <w:tcPr>
            <w:tcW w:type="dxa" w:w="93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平均</w:t>
            </w:r>
          </w:p>
        </w:tc>
        <w:tc>
          <w:tcPr>
            <w:tcW w:type="dxa" w:w="1037"/>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加權分</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專業內容正確性</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25</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85 / 86 / 87</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86</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21.5</w:t>
            </w:r>
          </w:p>
        </w:tc>
      </w:tr>
      <w:tr>
        <w:trPr>
          <w:cantSplit/>
        </w:trPr>
        <w:tc>
          <w:tcPr>
            <w:tcW w:type="dxa" w:w="309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教學示範與引導</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25</w:t>
            </w:r>
          </w:p>
        </w:tc>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80 / 83 / 83</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82</w:t>
            </w:r>
          </w:p>
        </w:tc>
        <w:tc>
          <w:tcPr>
            <w:tcW w:type="dxa" w:w="1037"/>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20.5</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成人志工適配與可近性</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20</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78 / 76 / 80</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78</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15.6</w:t>
            </w:r>
          </w:p>
        </w:tc>
      </w:tr>
      <w:tr>
        <w:trPr>
          <w:cantSplit/>
        </w:trPr>
        <w:tc>
          <w:tcPr>
            <w:tcW w:type="dxa" w:w="309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實務應用與移轉</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20</w:t>
            </w:r>
          </w:p>
        </w:tc>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82 / 80 / 78</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80</w:t>
            </w:r>
          </w:p>
        </w:tc>
        <w:tc>
          <w:tcPr>
            <w:tcW w:type="dxa" w:w="1037"/>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16.0</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個資、角色與安全界線</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10</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90 / 92 / 88</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90</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9.0</w:t>
            </w:r>
          </w:p>
        </w:tc>
      </w:tr>
    </w:tbl>
    <w:p>
      <w:pPr>
        <w:spacing w:after="0"/>
      </w:pPr>
    </w:p>
    <w:p>
      <w:pPr>
        <w:spacing w:before="0" w:after="100" w:line="269" w:lineRule="auto"/>
      </w:pPr>
      <w:r>
        <w:rPr>
          <w:rFonts w:ascii="Microsoft JhengHei" w:hAnsi="Microsoft JhengHei" w:eastAsia="Microsoft JhengHei"/>
          <w:b/>
          <w:i w:val="0"/>
          <w:color w:val="17365D"/>
          <w:sz w:val="21"/>
        </w:rPr>
        <w:t>C-01 合計 = 21.5 + 20.5 + 15.6 + 16.0 + 9.0 = 82.6 分。</w:t>
      </w:r>
    </w:p>
    <w:p>
      <w:pPr>
        <w:spacing w:before="0" w:after="100" w:line="269" w:lineRule="auto"/>
      </w:pPr>
      <w:r>
        <w:rPr>
          <w:rFonts w:ascii="Microsoft JhengHei" w:hAnsi="Microsoft JhengHei" w:eastAsia="Microsoft JhengHei"/>
          <w:b w:val="0"/>
          <w:i w:val="0"/>
          <w:color w:val="243247"/>
          <w:sz w:val="21"/>
        </w:rPr>
        <w:t>試教步驟清楚，學習者適配尚可；評審認為需增加多元學員的替代練習與回到工作後的追蹤提示。界線面向高分只表示示範情境符合量尺，不代表真實資格核驗。</w:t>
      </w:r>
    </w:p>
    <w:p>
      <w:pPr>
        <w:pStyle w:val="Heading2"/>
        <w:keepNext/>
        <w:pageBreakBefore w:val="0"/>
        <w:spacing w:before="140" w:after="100"/>
      </w:pPr>
      <w:r>
        <w:rPr>
          <w:rFonts w:ascii="Microsoft JhengHei" w:hAnsi="Microsoft JhengHei" w:eastAsia="Microsoft JhengHei"/>
          <w:b/>
          <w:i w:val="0"/>
          <w:color w:val="17365D"/>
          <w:sz w:val="24"/>
        </w:rPr>
        <w:t>C-02｜候選評分分解（SAMPLE）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978"/>
        <w:gridCol w:w="1978"/>
        <w:gridCol w:w="1978"/>
        <w:gridCol w:w="1978"/>
        <w:gridCol w:w="1978"/>
      </w:tblGrid>
      <w:tr>
        <w:trPr>
          <w:tblHeader w:val="true"/>
          <w:cantSplit/>
        </w:trPr>
        <w:tc>
          <w:tcPr>
            <w:tcW w:type="dxa" w:w="309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評分面向</w:t>
            </w:r>
          </w:p>
        </w:tc>
        <w:tc>
          <w:tcPr>
            <w:tcW w:type="dxa" w:w="93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權重%</w:t>
            </w:r>
          </w:p>
        </w:tc>
        <w:tc>
          <w:tcPr>
            <w:tcW w:type="dxa" w:w="194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評審甲／乙／丙</w:t>
            </w:r>
          </w:p>
        </w:tc>
        <w:tc>
          <w:tcPr>
            <w:tcW w:type="dxa" w:w="93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平均</w:t>
            </w:r>
          </w:p>
        </w:tc>
        <w:tc>
          <w:tcPr>
            <w:tcW w:type="dxa" w:w="1037"/>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加權分</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專業內容正確性</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25</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76 / 78 / 80</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78</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19.5</w:t>
            </w:r>
          </w:p>
        </w:tc>
      </w:tr>
      <w:tr>
        <w:trPr>
          <w:cantSplit/>
        </w:trPr>
        <w:tc>
          <w:tcPr>
            <w:tcW w:type="dxa" w:w="309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教學示範與引導</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25</w:t>
            </w:r>
          </w:p>
        </w:tc>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90 / 86 / 88</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88</w:t>
            </w:r>
          </w:p>
        </w:tc>
        <w:tc>
          <w:tcPr>
            <w:tcW w:type="dxa" w:w="1037"/>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22.0</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成人志工適配與可近性</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20</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74 / 76 / 75</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75</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15.0</w:t>
            </w:r>
          </w:p>
        </w:tc>
      </w:tr>
      <w:tr>
        <w:trPr>
          <w:cantSplit/>
        </w:trPr>
        <w:tc>
          <w:tcPr>
            <w:tcW w:type="dxa" w:w="309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實務應用與移轉</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20</w:t>
            </w:r>
          </w:p>
        </w:tc>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78 / 80 / 82</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80</w:t>
            </w:r>
          </w:p>
        </w:tc>
        <w:tc>
          <w:tcPr>
            <w:tcW w:type="dxa" w:w="1037"/>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16.0</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個資、角色與安全界線</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10</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84 / 86 / 85</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85</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8.5</w:t>
            </w:r>
          </w:p>
        </w:tc>
      </w:tr>
    </w:tbl>
    <w:p>
      <w:pPr>
        <w:spacing w:after="0"/>
      </w:pPr>
    </w:p>
    <w:p>
      <w:pPr>
        <w:spacing w:before="0" w:after="100" w:line="269" w:lineRule="auto"/>
      </w:pPr>
      <w:r>
        <w:rPr>
          <w:rFonts w:ascii="Microsoft JhengHei" w:hAnsi="Microsoft JhengHei" w:eastAsia="Microsoft JhengHei"/>
          <w:b/>
          <w:i w:val="0"/>
          <w:color w:val="17365D"/>
          <w:sz w:val="21"/>
        </w:rPr>
        <w:t>C-02 合計 = 19.5 + 22.0 + 15.0 + 16.0 + 8.5 = 81.0 分。</w:t>
      </w:r>
    </w:p>
    <w:p>
      <w:pPr>
        <w:spacing w:before="0" w:after="100" w:line="269" w:lineRule="auto"/>
      </w:pPr>
      <w:r>
        <w:rPr>
          <w:rFonts w:ascii="Microsoft JhengHei" w:hAnsi="Microsoft JhengHei" w:eastAsia="Microsoft JhengHei"/>
          <w:b w:val="0"/>
          <w:i w:val="0"/>
          <w:color w:val="243247"/>
          <w:sz w:val="21"/>
        </w:rPr>
        <w:t>試教引導分數高，能帶動短練習；專業內容正確性與學員適配仍需在教材可讀性及例題涵蓋面補強。安全界線分數達示例門檻，資格仍須原件確認。</w:t>
      </w:r>
    </w:p>
    <w:p>
      <w:pPr>
        <w:pStyle w:val="Heading2"/>
        <w:keepNext/>
        <w:pageBreakBefore w:val="0"/>
        <w:spacing w:before="140" w:after="100"/>
      </w:pPr>
      <w:r>
        <w:rPr>
          <w:rFonts w:ascii="Microsoft JhengHei" w:hAnsi="Microsoft JhengHei" w:eastAsia="Microsoft JhengHei"/>
          <w:b/>
          <w:i w:val="0"/>
          <w:color w:val="17365D"/>
          <w:sz w:val="24"/>
        </w:rPr>
        <w:t>C-03｜候選評分分解（SAMPLE）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978"/>
        <w:gridCol w:w="1978"/>
        <w:gridCol w:w="1978"/>
        <w:gridCol w:w="1978"/>
        <w:gridCol w:w="1978"/>
      </w:tblGrid>
      <w:tr>
        <w:trPr>
          <w:tblHeader w:val="true"/>
          <w:cantSplit/>
        </w:trPr>
        <w:tc>
          <w:tcPr>
            <w:tcW w:type="dxa" w:w="309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評分面向</w:t>
            </w:r>
          </w:p>
        </w:tc>
        <w:tc>
          <w:tcPr>
            <w:tcW w:type="dxa" w:w="93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權重%</w:t>
            </w:r>
          </w:p>
        </w:tc>
        <w:tc>
          <w:tcPr>
            <w:tcW w:type="dxa" w:w="194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評審甲／乙／丙</w:t>
            </w:r>
          </w:p>
        </w:tc>
        <w:tc>
          <w:tcPr>
            <w:tcW w:type="dxa" w:w="93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平均</w:t>
            </w:r>
          </w:p>
        </w:tc>
        <w:tc>
          <w:tcPr>
            <w:tcW w:type="dxa" w:w="1037"/>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加權分</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專業內容正確性</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25</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90 / 92 / 88</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90</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22.5</w:t>
            </w:r>
          </w:p>
        </w:tc>
      </w:tr>
      <w:tr>
        <w:trPr>
          <w:cantSplit/>
        </w:trPr>
        <w:tc>
          <w:tcPr>
            <w:tcW w:type="dxa" w:w="309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教學示範與引導</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25</w:t>
            </w:r>
          </w:p>
        </w:tc>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84 / 86 / 88</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86</w:t>
            </w:r>
          </w:p>
        </w:tc>
        <w:tc>
          <w:tcPr>
            <w:tcW w:type="dxa" w:w="1037"/>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21.5</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成人志工適配與可近性</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20</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88 / 90 / 86</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88</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17.6</w:t>
            </w:r>
          </w:p>
        </w:tc>
      </w:tr>
      <w:tr>
        <w:trPr>
          <w:cantSplit/>
        </w:trPr>
        <w:tc>
          <w:tcPr>
            <w:tcW w:type="dxa" w:w="309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實務應用與移轉</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20</w:t>
            </w:r>
          </w:p>
        </w:tc>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84 / 86 / 85</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85</w:t>
            </w:r>
          </w:p>
        </w:tc>
        <w:tc>
          <w:tcPr>
            <w:tcW w:type="dxa" w:w="1037"/>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17.0</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個資、角色與安全界線</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10</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92 / 90 / 88</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90</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9.0</w:t>
            </w:r>
          </w:p>
        </w:tc>
      </w:tr>
    </w:tbl>
    <w:p>
      <w:pPr>
        <w:spacing w:after="0"/>
      </w:pPr>
    </w:p>
    <w:p>
      <w:pPr>
        <w:spacing w:before="0" w:after="100" w:line="269" w:lineRule="auto"/>
      </w:pPr>
      <w:r>
        <w:rPr>
          <w:rFonts w:ascii="Microsoft JhengHei" w:hAnsi="Microsoft JhengHei" w:eastAsia="Microsoft JhengHei"/>
          <w:b/>
          <w:i w:val="0"/>
          <w:color w:val="17365D"/>
          <w:sz w:val="21"/>
        </w:rPr>
        <w:t>C-03 合計 = 22.5 + 21.5 + 17.6 + 17.0 + 9.0 = 87.6 分。</w:t>
      </w:r>
    </w:p>
    <w:p>
      <w:pPr>
        <w:spacing w:before="0" w:after="100" w:line="269" w:lineRule="auto"/>
      </w:pPr>
      <w:r>
        <w:rPr>
          <w:rFonts w:ascii="Microsoft JhengHei" w:hAnsi="Microsoft JhengHei" w:eastAsia="Microsoft JhengHei"/>
          <w:b w:val="0"/>
          <w:i w:val="0"/>
          <w:color w:val="243247"/>
          <w:sz w:val="21"/>
        </w:rPr>
        <w:t>示範能連接紀錄、交接和界線情境，並為不同背景提供替代參與方式。以加權總分排序第一；推薦仍受資格原件、利益衝突及正式權限核驗條件拘束。</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978"/>
        <w:gridCol w:w="1978"/>
        <w:gridCol w:w="1978"/>
        <w:gridCol w:w="1978"/>
        <w:gridCol w:w="1978"/>
      </w:tblGrid>
      <w:tr>
        <w:trPr>
          <w:tblHeader w:val="true"/>
          <w:cantSplit/>
        </w:trPr>
        <w:tc>
          <w:tcPr>
            <w:tcW w:type="dxa" w:w="100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排序</w:t>
            </w:r>
          </w:p>
        </w:tc>
        <w:tc>
          <w:tcPr>
            <w:tcW w:type="dxa" w:w="165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候選代碼</w:t>
            </w:r>
          </w:p>
        </w:tc>
        <w:tc>
          <w:tcPr>
            <w:tcW w:type="dxa" w:w="115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總分</w:t>
            </w:r>
          </w:p>
        </w:tc>
        <w:tc>
          <w:tcPr>
            <w:tcW w:type="dxa" w:w="144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分數門檻</w:t>
            </w:r>
          </w:p>
        </w:tc>
        <w:tc>
          <w:tcPr>
            <w:tcW w:type="dxa" w:w="446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示例決定</w:t>
            </w:r>
          </w:p>
        </w:tc>
      </w:tr>
      <w:tr>
        <w:trPr>
          <w:cantSplit/>
        </w:trPr>
        <w:tc>
          <w:tcPr>
            <w:tcW w:type="dxa" w:w="1008"/>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1</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C-03</w:t>
            </w:r>
          </w:p>
        </w:tc>
        <w:tc>
          <w:tcPr>
            <w:tcW w:type="dxa" w:w="11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87.6</w:t>
            </w:r>
          </w:p>
        </w:tc>
        <w:tc>
          <w:tcPr>
            <w:tcW w:type="dxa" w:w="144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達標</w:t>
            </w:r>
          </w:p>
        </w:tc>
        <w:tc>
          <w:tcPr>
            <w:tcW w:type="dxa" w:w="446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可提出條件式推薦；先核原件及權限。</w:t>
            </w:r>
          </w:p>
        </w:tc>
      </w:tr>
      <w:tr>
        <w:trPr>
          <w:cantSplit/>
        </w:trPr>
        <w:tc>
          <w:tcPr>
            <w:tcW w:type="dxa" w:w="100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2</w:t>
            </w:r>
          </w:p>
        </w:tc>
        <w:tc>
          <w:tcPr>
            <w:tcW w:type="dxa" w:w="165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C-01</w:t>
            </w:r>
          </w:p>
        </w:tc>
        <w:tc>
          <w:tcPr>
            <w:tcW w:type="dxa" w:w="11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82.6</w:t>
            </w:r>
          </w:p>
        </w:tc>
        <w:tc>
          <w:tcPr>
            <w:tcW w:type="dxa" w:w="144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達標</w:t>
            </w:r>
          </w:p>
        </w:tc>
        <w:tc>
          <w:tcPr>
            <w:tcW w:type="dxa" w:w="446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備選；依相同條件完成核驗。</w:t>
            </w:r>
          </w:p>
        </w:tc>
      </w:tr>
      <w:tr>
        <w:trPr>
          <w:cantSplit/>
        </w:trPr>
        <w:tc>
          <w:tcPr>
            <w:tcW w:type="dxa" w:w="1008"/>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3</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C-02</w:t>
            </w:r>
          </w:p>
        </w:tc>
        <w:tc>
          <w:tcPr>
            <w:tcW w:type="dxa" w:w="11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81.0</w:t>
            </w:r>
          </w:p>
        </w:tc>
        <w:tc>
          <w:tcPr>
            <w:tcW w:type="dxa" w:w="144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達標</w:t>
            </w:r>
          </w:p>
        </w:tc>
        <w:tc>
          <w:tcPr>
            <w:tcW w:type="dxa" w:w="446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備選；其學員適配補強事項列入條件。</w:t>
            </w:r>
          </w:p>
        </w:tc>
      </w:tr>
    </w:tbl>
    <w:p>
      <w:pPr>
        <w:spacing w:after="0"/>
      </w:pPr>
    </w:p>
    <w:p>
      <w:pPr>
        <w:spacing w:before="0" w:after="100" w:line="269" w:lineRule="auto"/>
      </w:pPr>
      <w:r>
        <w:rPr>
          <w:rFonts w:ascii="Microsoft JhengHei" w:hAnsi="Microsoft JhengHei" w:eastAsia="Microsoft JhengHei"/>
          <w:b/>
          <w:i w:val="0"/>
          <w:color w:val="243247"/>
          <w:sz w:val="21"/>
        </w:rPr>
        <w:t>排序核對：C-03 87.6 &gt; C-01 82.6 &gt; C-02 81.0。各候選的專業內容正確性、教學示範與引導、成人志工適配與可近性，以及個資、角色與安全界線均達示例門檻；若真實原件或權限有任何一項無法核驗，該候選立即 HOLD，不因排序高而例外。</w:t>
      </w:r>
    </w:p>
    <w:p>
      <w:pPr>
        <w:spacing w:before="0" w:after="100" w:line="269" w:lineRule="auto"/>
      </w:pPr>
      <w:r>
        <w:rPr>
          <w:rFonts w:ascii="Microsoft JhengHei" w:hAnsi="Microsoft JhengHei" w:eastAsia="Microsoft JhengHei"/>
          <w:b/>
          <w:i w:val="0"/>
          <w:color w:val="243247"/>
          <w:sz w:val="21"/>
        </w:rPr>
        <w:t>同分處理（SAMPLE / SYNTHETIC，提案規則）：若加權總分相同，先比較『專業內容正確性』加權點數，再比較『教學示範與引導』加權點數；仍同分時，安排相同題目、準備時間、時長及量尺的第二次試教，記錄評審觀察與分數。若仍同分，或無法核實具權限者與已核定的後續規則，立即 HOLD，依真實章程與授權處理，不另創規則。本例三組加權總分互異，未觸發此程序。此提案須由具權限者核定後始得正式採用。</w:t>
      </w:r>
    </w:p>
    <w:p>
      <w:pPr>
        <w:pStyle w:val="Heading2"/>
        <w:keepNext/>
        <w:pageBreakBefore w:val="0"/>
        <w:spacing w:before="140" w:after="100"/>
      </w:pPr>
      <w:r>
        <w:rPr>
          <w:rFonts w:ascii="Microsoft JhengHei" w:hAnsi="Microsoft JhengHei" w:eastAsia="Microsoft JhengHei"/>
          <w:b/>
          <w:i w:val="0"/>
          <w:color w:val="17365D"/>
          <w:sz w:val="24"/>
        </w:rPr>
        <w:t>評審觀察摘要（合成）</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97"/>
        <w:gridCol w:w="3297"/>
        <w:gridCol w:w="3297"/>
      </w:tblGrid>
      <w:tr>
        <w:trPr>
          <w:tblHeader w:val="true"/>
          <w:cantSplit/>
        </w:trPr>
        <w:tc>
          <w:tcPr>
            <w:tcW w:type="dxa" w:w="115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候選</w:t>
            </w:r>
          </w:p>
        </w:tc>
        <w:tc>
          <w:tcPr>
            <w:tcW w:type="dxa" w:w="432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支持分數的具體觀察</w:t>
            </w:r>
          </w:p>
        </w:tc>
        <w:tc>
          <w:tcPr>
            <w:tcW w:type="dxa" w:w="424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待確認／改善事項</w:t>
            </w:r>
          </w:p>
        </w:tc>
      </w:tr>
      <w:tr>
        <w:trPr>
          <w:cantSplit/>
        </w:trPr>
        <w:tc>
          <w:tcPr>
            <w:tcW w:type="dxa" w:w="1152"/>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C-01</w:t>
            </w:r>
          </w:p>
        </w:tc>
        <w:tc>
          <w:tcPr>
            <w:tcW w:type="dxa" w:w="43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使用三欄示例指出事實、來源、交接責任，練習後要求學員復述。</w:t>
            </w:r>
          </w:p>
        </w:tc>
        <w:tc>
          <w:tcPr>
            <w:tcW w:type="dxa" w:w="42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增加較大字版及口頭替代回覆；補上課後交接檢核。</w:t>
            </w:r>
          </w:p>
        </w:tc>
      </w:tr>
      <w:tr>
        <w:trPr>
          <w:cantSplit/>
        </w:trPr>
        <w:tc>
          <w:tcPr>
            <w:tcW w:type="dxa" w:w="11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C-02</w:t>
            </w:r>
          </w:p>
        </w:tc>
        <w:tc>
          <w:tcPr>
            <w:tcW w:type="dxa" w:w="432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先示範錯誤紀錄，再邀請學員提出修改，並用問題確認學習。</w:t>
            </w:r>
          </w:p>
        </w:tc>
        <w:tc>
          <w:tcPr>
            <w:tcW w:type="dxa" w:w="42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教學材料需補不同閱讀程度例子；授權與原件仍須核驗。</w:t>
            </w:r>
          </w:p>
        </w:tc>
      </w:tr>
      <w:tr>
        <w:trPr>
          <w:cantSplit/>
        </w:trPr>
        <w:tc>
          <w:tcPr>
            <w:tcW w:type="dxa" w:w="1152"/>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C-03</w:t>
            </w:r>
          </w:p>
        </w:tc>
        <w:tc>
          <w:tcPr>
            <w:tcW w:type="dxa" w:w="43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用同一案例完成紀錄與交接，明確指出不記錄推測及停止／轉介點。</w:t>
            </w:r>
          </w:p>
        </w:tc>
        <w:tc>
          <w:tcPr>
            <w:tcW w:type="dxa" w:w="42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取得真實資格原件、確認授課時段與費用授權後才可聘任。</w:t>
            </w:r>
          </w:p>
        </w:tc>
      </w:tr>
    </w:tbl>
    <w:p>
      <w:pPr>
        <w:spacing w:after="0"/>
      </w:pPr>
    </w:p>
    <w:p>
      <w:r>
        <w:br w:type="page"/>
      </w:r>
    </w:p>
    <w:p>
      <w:pPr>
        <w:pStyle w:val="Heading1"/>
        <w:keepNext/>
        <w:pageBreakBefore w:val="0"/>
        <w:spacing w:before="200" w:after="100"/>
      </w:pPr>
      <w:r>
        <w:rPr>
          <w:rFonts w:ascii="Microsoft JhengHei" w:hAnsi="Microsoft JhengHei" w:eastAsia="Microsoft JhengHei"/>
          <w:b/>
          <w:i w:val="0"/>
          <w:color w:val="17365D"/>
          <w:sz w:val="32"/>
        </w:rPr>
        <w:t>8｜利益衝突處理與推薦規則</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97"/>
        <w:gridCol w:w="3297"/>
        <w:gridCol w:w="3297"/>
      </w:tblGrid>
      <w:tr>
        <w:trPr>
          <w:tblHeader w:val="true"/>
          <w:cantSplit/>
        </w:trPr>
        <w:tc>
          <w:tcPr>
            <w:tcW w:type="dxa" w:w="237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狀況</w:t>
            </w:r>
          </w:p>
        </w:tc>
        <w:tc>
          <w:tcPr>
            <w:tcW w:type="dxa" w:w="482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處理方式</w:t>
            </w:r>
          </w:p>
        </w:tc>
        <w:tc>
          <w:tcPr>
            <w:tcW w:type="dxa" w:w="252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紀錄欄位</w:t>
            </w:r>
          </w:p>
        </w:tc>
      </w:tr>
      <w:tr>
        <w:trPr>
          <w:cantSplit/>
        </w:trPr>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評審與候選人有近親、財務、督導、競爭或其他可能影響公正的關係</w:t>
            </w:r>
          </w:p>
        </w:tc>
        <w:tc>
          <w:tcPr>
            <w:tcW w:type="dxa" w:w="482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評審於看分前申報；承辦判斷迴避範圍；需要時由有權者指定替代評審。</w:t>
            </w:r>
          </w:p>
        </w:tc>
        <w:tc>
          <w:tcPr>
            <w:tcW w:type="dxa" w:w="25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申報人、關係類型、評估者、處置、替代人、日期。</w:t>
            </w:r>
          </w:p>
        </w:tc>
      </w:tr>
      <w:tr>
        <w:trPr>
          <w:cantSplit/>
        </w:trPr>
        <w:tc>
          <w:tcPr>
            <w:tcW w:type="dxa" w:w="237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候選人資料涉及不必要個資</w:t>
            </w:r>
          </w:p>
        </w:tc>
        <w:tc>
          <w:tcPr>
            <w:tcW w:type="dxa" w:w="482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只保留評選必要欄位；限制存取；依組織正式保存規則處理到期刪除。</w:t>
            </w:r>
          </w:p>
        </w:tc>
        <w:tc>
          <w:tcPr>
            <w:tcW w:type="dxa" w:w="252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資料項目、用途、存取人、保存期限、刪除核准。</w:t>
            </w:r>
          </w:p>
        </w:tc>
      </w:tr>
      <w:tr>
        <w:trPr>
          <w:cantSplit/>
        </w:trPr>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資料不一致或資格查不到</w:t>
            </w:r>
          </w:p>
        </w:tc>
        <w:tc>
          <w:tcPr>
            <w:tcW w:type="dxa" w:w="482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先凍結該候選評分結論；要求補件或以獨立來源查驗；保留往返紀錄。</w:t>
            </w:r>
          </w:p>
        </w:tc>
        <w:tc>
          <w:tcPr>
            <w:tcW w:type="dxa" w:w="25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缺件、查驗來源、聯絡日期、期限、結果。</w:t>
            </w:r>
          </w:p>
        </w:tc>
      </w:tr>
    </w:tbl>
    <w:p>
      <w:pPr>
        <w:spacing w:after="0"/>
      </w:pPr>
    </w:p>
    <w:p>
      <w:pPr>
        <w:spacing w:before="0" w:after="100" w:line="269" w:lineRule="auto"/>
      </w:pPr>
      <w:r>
        <w:rPr>
          <w:rFonts w:ascii="Microsoft JhengHei" w:hAnsi="Microsoft JhengHei" w:eastAsia="Microsoft JhengHei"/>
          <w:b/>
          <w:i w:val="0"/>
          <w:color w:val="243247"/>
          <w:sz w:val="21"/>
        </w:rPr>
        <w:t>本合成情境設定三名評審均申報「無已知衝突」，僅供示範表單填寫。真實評審必須分別簽署日期與申報內容；空白不等於無衝突。</w:t>
      </w:r>
    </w:p>
    <w:p>
      <w:pPr>
        <w:pStyle w:val="Heading1"/>
        <w:keepNext/>
        <w:pageBreakBefore w:val="0"/>
        <w:spacing w:before="200" w:after="100"/>
      </w:pPr>
      <w:r>
        <w:rPr>
          <w:rFonts w:ascii="Microsoft JhengHei" w:hAnsi="Microsoft JhengHei" w:eastAsia="Microsoft JhengHei"/>
          <w:b/>
          <w:i w:val="0"/>
          <w:color w:val="17365D"/>
          <w:sz w:val="32"/>
        </w:rPr>
        <w:t>9｜訓練管理委員會議程與決定紀錄（模擬）</w:t>
      </w:r>
    </w:p>
    <w:tbl>
      <w:tblPr>
        <w:tblW w:type="auto" w:w="0"/>
        <w:jc w:val="center"/>
        <w:tblLook w:firstColumn="1" w:firstRow="1" w:lastColumn="0" w:lastRow="0" w:noHBand="0" w:noVBand="1" w:val="04A0"/>
        <w:tblBorders>
          <w:top w:val="single" w:sz="6" w:space="0" w:color="9BB4C7"/>
          <w:left w:val="single" w:sz="6" w:space="0" w:color="9BB4C7"/>
          <w:bottom w:val="single" w:sz="6" w:space="0" w:color="9BB4C7"/>
          <w:right w:val="single" w:sz="6" w:space="0" w:color="9BB4C7"/>
          <w:insideH w:val="single" w:sz="6" w:space="0" w:color="9BB4C7"/>
          <w:insideV w:val="single" w:sz="6" w:space="0" w:color="9BB4C7"/>
        </w:tblBorders>
      </w:tblPr>
      <w:tblGrid>
        <w:gridCol w:w="9890"/>
      </w:tblGrid>
      <w:tr>
        <w:trPr>
          <w:cantSplit/>
        </w:trPr>
        <w:tc>
          <w:tcPr>
            <w:tcW w:type="dxa" w:w="9890"/>
            <w:shd w:fill="FCE4A6"/>
            <w:tcMar>
              <w:top w:w="120" w:type="dxa"/>
              <w:start w:w="150" w:type="dxa"/>
              <w:bottom w:w="120" w:type="dxa"/>
              <w:end w:w="150" w:type="dxa"/>
            </w:tcMar>
          </w:tcPr>
          <w:p>
            <w:pPr>
              <w:spacing w:after="40"/>
            </w:pPr>
            <w:r/>
            <w:r>
              <w:rPr>
                <w:rFonts w:ascii="Microsoft JhengHei" w:hAnsi="Microsoft JhengHei" w:eastAsia="Microsoft JhengHei"/>
                <w:b/>
                <w:i w:val="0"/>
                <w:color w:val="17365D"/>
                <w:sz w:val="19"/>
              </w:rPr>
              <w:t>完全合成的會議情境｜</w:t>
            </w:r>
            <w:r>
              <w:rPr>
                <w:rFonts w:ascii="Microsoft JhengHei" w:hAnsi="Microsoft JhengHei" w:eastAsia="Microsoft JhengHei"/>
                <w:b w:val="0"/>
                <w:i w:val="0"/>
                <w:color w:val="243247"/>
                <w:sz w:val="19"/>
              </w:rPr>
              <w:t>以下會議日期、出席、權限、討論與決定均為虛構。文件以「假設權限已由真實文件證明」示範決議記錄形式，並不證明原始點協會已成立委員會或作出決議。</w:t>
            </w:r>
          </w:p>
        </w:tc>
      </w:tr>
    </w:tbl>
    <w:p>
      <w:pPr>
        <w:spacing w:after="0"/>
      </w:pP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45"/>
        <w:gridCol w:w="4945"/>
      </w:tblGrid>
      <w:tr>
        <w:trPr>
          <w:tblHeader w:val="true"/>
          <w:cantSplit/>
        </w:trPr>
        <w:tc>
          <w:tcPr>
            <w:tcW w:type="dxa" w:w="208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欄位</w:t>
            </w:r>
          </w:p>
        </w:tc>
        <w:tc>
          <w:tcPr>
            <w:tcW w:type="dxa" w:w="770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SAMPLE 填寫示例／真實替換要求</w:t>
            </w:r>
          </w:p>
        </w:tc>
      </w:tr>
      <w:tr>
        <w:trPr>
          <w:cantSplit/>
        </w:trPr>
        <w:tc>
          <w:tcPr>
            <w:tcW w:type="dxa" w:w="2088"/>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會議基本資料</w:t>
            </w:r>
          </w:p>
        </w:tc>
        <w:tc>
          <w:tcPr>
            <w:tcW w:type="dxa" w:w="770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合成日期：2026-11-10（未來示例）；14:00–15:00；會議方式：合成實體會議；地點：SAMPLE。正式使用需填實際日期、場地、通知與簽到原件。</w:t>
            </w:r>
          </w:p>
        </w:tc>
      </w:tr>
      <w:tr>
        <w:trPr>
          <w:cantSplit/>
        </w:trPr>
        <w:tc>
          <w:tcPr>
            <w:tcW w:type="dxa" w:w="208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出席及法定人數</w:t>
            </w:r>
          </w:p>
        </w:tc>
        <w:tc>
          <w:tcPr>
            <w:tcW w:type="dxa" w:w="770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主席 P-01（本示範設定不表決）、表決委員 M-01、M-02、M-03、紀錄員 S-01（全為合成代碼）；示範設定 3/3 表決委員出席。須附真實委員任期、簽到及法定人數算法。</w:t>
            </w:r>
          </w:p>
        </w:tc>
      </w:tr>
      <w:tr>
        <w:trPr>
          <w:cantSplit/>
        </w:trPr>
        <w:tc>
          <w:tcPr>
            <w:tcW w:type="dxa" w:w="2088"/>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議程一：權限確認</w:t>
            </w:r>
          </w:p>
        </w:tc>
        <w:tc>
          <w:tcPr>
            <w:tcW w:type="dxa" w:w="770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示範決定前先檢視章程、委員會任期、決議門檻、聘書簽發權與費用核定權；本樣本假設附件均已驗證，真實情形目前 UNKNOWN。</w:t>
            </w:r>
          </w:p>
        </w:tc>
      </w:tr>
      <w:tr>
        <w:trPr>
          <w:cantSplit/>
        </w:trPr>
        <w:tc>
          <w:tcPr>
            <w:tcW w:type="dxa" w:w="208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議程二：需求與流程</w:t>
            </w:r>
          </w:p>
        </w:tc>
        <w:tc>
          <w:tcPr>
            <w:tcW w:type="dxa" w:w="770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確認課程需求摘要、評選量尺、同題試教、三位評審的利益衝突申報及資格查驗清單。</w:t>
            </w:r>
          </w:p>
        </w:tc>
      </w:tr>
      <w:tr>
        <w:trPr>
          <w:cantSplit/>
        </w:trPr>
        <w:tc>
          <w:tcPr>
            <w:tcW w:type="dxa" w:w="2088"/>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議程三：比較結果</w:t>
            </w:r>
          </w:p>
        </w:tc>
        <w:tc>
          <w:tcPr>
            <w:tcW w:type="dxa" w:w="770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審閱 C-01 82.6、C-02 81.0、C-03 87.6；討論 C-03 教學適配較完整，但須在實際聘任前完成原件查驗及排程確認。</w:t>
            </w:r>
          </w:p>
        </w:tc>
      </w:tr>
      <w:tr>
        <w:trPr>
          <w:cantSplit/>
        </w:trPr>
        <w:tc>
          <w:tcPr>
            <w:tcW w:type="dxa" w:w="208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合成決議</w:t>
            </w:r>
          </w:p>
        </w:tc>
        <w:tc>
          <w:tcPr>
            <w:tcW w:type="dxa" w:w="770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SAMPLE：在假設委員會權限有效、表決程序完備且原始資格查驗通過的前提下，決議優先推薦 C-03；承辦人應先完成所有 HOLD 項目，主席確認無未解異議後，始得依法定授權簽發聘書。此為教學用模擬文字，並非協會真實決議。</w:t>
            </w:r>
          </w:p>
        </w:tc>
      </w:tr>
      <w:tr>
        <w:trPr>
          <w:cantSplit/>
        </w:trPr>
        <w:tc>
          <w:tcPr>
            <w:tcW w:type="dxa" w:w="2088"/>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反對／迴避／附件</w:t>
            </w:r>
          </w:p>
        </w:tc>
        <w:tc>
          <w:tcPr>
            <w:tcW w:type="dxa" w:w="770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示例：無（合成設定）。真實會議須逐一記錄反對票、棄權、迴避、附件版本及頁數，不可用「無」代替未記錄。</w:t>
            </w:r>
          </w:p>
        </w:tc>
      </w:tr>
      <w:tr>
        <w:trPr>
          <w:cantSplit/>
        </w:trPr>
        <w:tc>
          <w:tcPr>
            <w:tcW w:type="dxa" w:w="208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責任與期限</w:t>
            </w:r>
          </w:p>
        </w:tc>
        <w:tc>
          <w:tcPr>
            <w:tcW w:type="dxa" w:w="770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承辦 A-01（合成）於 2026-11-17 前核對 C-03 原件、授課時段與費用授權；主席 P-01（合成）於核驗後依真實權限決定是否簽發；未完成則維持 HOLD。</w:t>
            </w:r>
          </w:p>
        </w:tc>
      </w:tr>
    </w:tbl>
    <w:p>
      <w:pPr>
        <w:spacing w:after="0"/>
      </w:pPr>
    </w:p>
    <w:p>
      <w:pPr>
        <w:spacing w:before="0" w:after="100" w:line="269" w:lineRule="auto"/>
      </w:pPr>
      <w:r>
        <w:rPr>
          <w:rFonts w:ascii="Microsoft JhengHei" w:hAnsi="Microsoft JhengHei" w:eastAsia="Microsoft JhengHei"/>
          <w:b w:val="0"/>
          <w:i w:val="0"/>
          <w:color w:val="243247"/>
          <w:sz w:val="21"/>
        </w:rPr>
        <w:t>決議確認欄（真實使用）：主席簽名／日期：________________；紀錄員簽名／日期：________________；附件清單：________________。此處空白且不得由本樣本代簽。</w:t>
      </w:r>
    </w:p>
    <w:p>
      <w:pPr>
        <w:pStyle w:val="Heading1"/>
        <w:keepNext/>
        <w:pageBreakBefore w:val="0"/>
        <w:spacing w:before="200" w:after="100"/>
      </w:pPr>
      <w:r>
        <w:rPr>
          <w:rFonts w:ascii="Microsoft JhengHei" w:hAnsi="Microsoft JhengHei" w:eastAsia="Microsoft JhengHei"/>
          <w:b/>
          <w:i w:val="0"/>
          <w:color w:val="17365D"/>
          <w:sz w:val="32"/>
        </w:rPr>
        <w:t>10｜聘書處理流程與未發出聘書樣本</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97"/>
        <w:gridCol w:w="3297"/>
        <w:gridCol w:w="3297"/>
      </w:tblGrid>
      <w:tr>
        <w:trPr>
          <w:tblHeader w:val="true"/>
          <w:cantSplit/>
        </w:trPr>
        <w:tc>
          <w:tcPr>
            <w:tcW w:type="dxa" w:w="144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步驟</w:t>
            </w:r>
          </w:p>
        </w:tc>
        <w:tc>
          <w:tcPr>
            <w:tcW w:type="dxa" w:w="518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必須先有的證據</w:t>
            </w:r>
          </w:p>
        </w:tc>
        <w:tc>
          <w:tcPr>
            <w:tcW w:type="dxa" w:w="316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不得越過的關卡</w:t>
            </w:r>
          </w:p>
        </w:tc>
      </w:tr>
      <w:tr>
        <w:trPr>
          <w:cantSplit/>
        </w:trPr>
        <w:tc>
          <w:tcPr>
            <w:tcW w:type="dxa" w:w="144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1. 形成推薦</w:t>
            </w:r>
          </w:p>
        </w:tc>
        <w:tc>
          <w:tcPr>
            <w:tcW w:type="dxa" w:w="51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完整評分、試教、資格／授權／衝突檢核。</w:t>
            </w:r>
          </w:p>
        </w:tc>
        <w:tc>
          <w:tcPr>
            <w:tcW w:type="dxa" w:w="316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未達門檻或有 HOLD 不推薦。</w:t>
            </w:r>
          </w:p>
        </w:tc>
      </w:tr>
      <w:tr>
        <w:trPr>
          <w:cantSplit/>
        </w:trPr>
        <w:tc>
          <w:tcPr>
            <w:tcW w:type="dxa" w:w="144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2. 委員會決定</w:t>
            </w:r>
          </w:p>
        </w:tc>
        <w:tc>
          <w:tcPr>
            <w:tcW w:type="dxa" w:w="51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有效權限、通知、簽到、議事規則、逐項決議及附件。</w:t>
            </w:r>
          </w:p>
        </w:tc>
        <w:tc>
          <w:tcPr>
            <w:tcW w:type="dxa" w:w="316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草稿、口頭意見或不明權限不能當正式核准。</w:t>
            </w:r>
          </w:p>
        </w:tc>
      </w:tr>
      <w:tr>
        <w:trPr>
          <w:cantSplit/>
        </w:trPr>
        <w:tc>
          <w:tcPr>
            <w:tcW w:type="dxa" w:w="144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3. 核定條件</w:t>
            </w:r>
          </w:p>
        </w:tc>
        <w:tc>
          <w:tcPr>
            <w:tcW w:type="dxa" w:w="51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課程版本、日期、總時數、費用來源、支付條件、教材及個資條款。</w:t>
            </w:r>
          </w:p>
        </w:tc>
        <w:tc>
          <w:tcPr>
            <w:tcW w:type="dxa" w:w="316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未經授權不得自行承諾費用或期間。</w:t>
            </w:r>
          </w:p>
        </w:tc>
      </w:tr>
      <w:tr>
        <w:trPr>
          <w:cantSplit/>
        </w:trPr>
        <w:tc>
          <w:tcPr>
            <w:tcW w:type="dxa" w:w="144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4. 簽發與送達</w:t>
            </w:r>
          </w:p>
        </w:tc>
        <w:tc>
          <w:tcPr>
            <w:tcW w:type="dxa" w:w="51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正式聘書編號、核准人簽章、送達證明。</w:t>
            </w:r>
          </w:p>
        </w:tc>
        <w:tc>
          <w:tcPr>
            <w:tcW w:type="dxa" w:w="316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不得預簽、倒填、代簽或以此樣本冒充原件。</w:t>
            </w:r>
          </w:p>
        </w:tc>
      </w:tr>
      <w:tr>
        <w:trPr>
          <w:cantSplit/>
        </w:trPr>
        <w:tc>
          <w:tcPr>
            <w:tcW w:type="dxa" w:w="144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5. 接受與歸檔</w:t>
            </w:r>
          </w:p>
        </w:tc>
        <w:tc>
          <w:tcPr>
            <w:tcW w:type="dxa" w:w="51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講師簽收／接受、版本、保存位置及權限。</w:t>
            </w:r>
          </w:p>
        </w:tc>
        <w:tc>
          <w:tcPr>
            <w:tcW w:type="dxa" w:w="316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未接受不視為已完成任命。</w:t>
            </w:r>
          </w:p>
        </w:tc>
      </w:tr>
    </w:tbl>
    <w:p>
      <w:pPr>
        <w:spacing w:after="0"/>
      </w:pPr>
    </w:p>
    <w:tbl>
      <w:tblPr>
        <w:tblW w:type="auto" w:w="0"/>
        <w:jc w:val="center"/>
        <w:tblLook w:firstColumn="1" w:firstRow="1" w:lastColumn="0" w:lastRow="0" w:noHBand="0" w:noVBand="1" w:val="04A0"/>
        <w:tblBorders>
          <w:top w:val="single" w:sz="6" w:space="0" w:color="9BB4C7"/>
          <w:left w:val="single" w:sz="6" w:space="0" w:color="9BB4C7"/>
          <w:bottom w:val="single" w:sz="6" w:space="0" w:color="9BB4C7"/>
          <w:right w:val="single" w:sz="6" w:space="0" w:color="9BB4C7"/>
          <w:insideH w:val="single" w:sz="6" w:space="0" w:color="9BB4C7"/>
          <w:insideV w:val="single" w:sz="6" w:space="0" w:color="9BB4C7"/>
        </w:tblBorders>
      </w:tblPr>
      <w:tblGrid>
        <w:gridCol w:w="9890"/>
      </w:tblGrid>
      <w:tr>
        <w:trPr>
          <w:cantSplit/>
        </w:trPr>
        <w:tc>
          <w:tcPr>
            <w:tcW w:type="dxa" w:w="9890"/>
            <w:shd w:fill="FCE4D6"/>
            <w:tcMar>
              <w:top w:w="120" w:type="dxa"/>
              <w:start w:w="150" w:type="dxa"/>
              <w:bottom w:w="120" w:type="dxa"/>
              <w:end w:w="150" w:type="dxa"/>
            </w:tcMar>
          </w:tcPr>
          <w:p>
            <w:pPr>
              <w:spacing w:after="40"/>
            </w:pPr>
            <w:r/>
            <w:r>
              <w:rPr>
                <w:rFonts w:ascii="Microsoft JhengHei" w:hAnsi="Microsoft JhengHei" w:eastAsia="Microsoft JhengHei"/>
                <w:b/>
                <w:i w:val="0"/>
                <w:color w:val="17365D"/>
                <w:sz w:val="19"/>
              </w:rPr>
              <w:t>SAMPLE｜NOT ISSUED｜NOT VALID｜</w:t>
            </w:r>
            <w:r>
              <w:rPr>
                <w:rFonts w:ascii="Microsoft JhengHei" w:hAnsi="Microsoft JhengHei" w:eastAsia="Microsoft JhengHei"/>
                <w:b w:val="0"/>
                <w:i w:val="0"/>
                <w:color w:val="243247"/>
                <w:sz w:val="19"/>
              </w:rPr>
              <w:t>以下文字只示範聘書欄位與條件。不得列印後簽發；不得使用協會真實印信；日期、費用與角色代碼全為虛構。正式發出前須替換並核實所有資料，取得有權委員會決議及核定人簽章。</w:t>
            </w:r>
          </w:p>
        </w:tc>
      </w:tr>
    </w:tbl>
    <w:p>
      <w:pPr>
        <w:spacing w:after="0"/>
      </w:pP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45"/>
        <w:gridCol w:w="4945"/>
      </w:tblGrid>
      <w:tr>
        <w:trPr>
          <w:tblHeader w:val="true"/>
          <w:cantSplit/>
        </w:trPr>
        <w:tc>
          <w:tcPr>
            <w:tcW w:type="dxa" w:w="194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聘書欄位</w:t>
            </w:r>
          </w:p>
        </w:tc>
        <w:tc>
          <w:tcPr>
            <w:tcW w:type="dxa" w:w="784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示範文字（全部為合成草稿）</w:t>
            </w:r>
          </w:p>
        </w:tc>
      </w:tr>
      <w:tr>
        <w:trPr>
          <w:cantSplit/>
        </w:trPr>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受聘人／編號</w:t>
            </w:r>
          </w:p>
        </w:tc>
        <w:tc>
          <w:tcPr>
            <w:tcW w:type="dxa" w:w="78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C-03（虛構代碼；非真實講師姓名）；聘書草稿編號 SAMPLE-APPT-001。</w:t>
            </w:r>
          </w:p>
        </w:tc>
      </w:tr>
      <w:tr>
        <w:trPr>
          <w:cantSplit/>
        </w:trPr>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課程與工作範圍</w:t>
            </w:r>
          </w:p>
        </w:tc>
        <w:tc>
          <w:tcPr>
            <w:tcW w:type="dxa" w:w="78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課程：志工服務紀錄、交接與工作界線實務；四單元，共 360 分鐘。工作：依核定教案授課、帶領練習、回報學習狀況、完成必要教材修訂及課後紀錄。</w:t>
            </w:r>
          </w:p>
        </w:tc>
      </w:tr>
      <w:tr>
        <w:trPr>
          <w:cantSplit/>
        </w:trPr>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日期與地點</w:t>
            </w:r>
          </w:p>
        </w:tc>
        <w:tc>
          <w:tcPr>
            <w:tcW w:type="dxa" w:w="78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樣本期間：2026-12-05；日期為虛構未來日期，實際開課時間與地點待核定。</w:t>
            </w:r>
          </w:p>
        </w:tc>
      </w:tr>
      <w:tr>
        <w:trPr>
          <w:cantSplit/>
        </w:trPr>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費用條件</w:t>
            </w:r>
          </w:p>
        </w:tc>
        <w:tc>
          <w:tcPr>
            <w:tcW w:type="dxa" w:w="78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示例酬金 NT$4,800（360 分鐘 × 合成每小時 NT$800）。此數字未經協會核准，不代表支付承諾；正式使用需有預算、稅務與支付規則來源。</w:t>
            </w:r>
          </w:p>
        </w:tc>
      </w:tr>
      <w:tr>
        <w:trPr>
          <w:cantSplit/>
        </w:trPr>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履約條件</w:t>
            </w:r>
          </w:p>
        </w:tc>
        <w:tc>
          <w:tcPr>
            <w:tcW w:type="dxa" w:w="78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遵守核定課程目標、角色界線、個資保護與場地安全規則；未經同意不得另行蒐集或公開學員資料；教材授權範圍以真實契約為準。</w:t>
            </w:r>
          </w:p>
        </w:tc>
      </w:tr>
      <w:tr>
        <w:trPr>
          <w:cantSplit/>
        </w:trPr>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取消／變更</w:t>
            </w:r>
          </w:p>
        </w:tc>
        <w:tc>
          <w:tcPr>
            <w:tcW w:type="dxa" w:w="78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日期、時數、費用或教材有變更時，由雙方以可追溯方式確認並依授權程序核准；不可單方補填。</w:t>
            </w:r>
          </w:p>
        </w:tc>
      </w:tr>
      <w:tr>
        <w:trPr>
          <w:cantSplit/>
        </w:trPr>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簽章欄</w:t>
            </w:r>
          </w:p>
        </w:tc>
        <w:tc>
          <w:tcPr>
            <w:tcW w:type="dxa" w:w="78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委任單位有權代表：________________／日期：____；受聘人接受：________________／日期：____。本樣本未簽發、未送達、未接受。</w:t>
            </w:r>
          </w:p>
        </w:tc>
      </w:tr>
    </w:tbl>
    <w:p>
      <w:pPr>
        <w:spacing w:after="0"/>
      </w:pPr>
    </w:p>
    <w:p>
      <w:pPr>
        <w:pStyle w:val="Heading1"/>
        <w:keepNext/>
        <w:pageBreakBefore w:val="0"/>
        <w:spacing w:before="200" w:after="100"/>
      </w:pPr>
      <w:r>
        <w:rPr>
          <w:rFonts w:ascii="Microsoft JhengHei" w:hAnsi="Microsoft JhengHei" w:eastAsia="Microsoft JhengHei"/>
          <w:b/>
          <w:i w:val="0"/>
          <w:color w:val="17365D"/>
          <w:sz w:val="32"/>
        </w:rPr>
        <w:t>11｜授課後回饋與改進閉環（尚未發生）</w:t>
      </w:r>
    </w:p>
    <w:p>
      <w:pPr>
        <w:spacing w:before="0" w:after="100" w:line="269" w:lineRule="auto"/>
      </w:pPr>
      <w:r>
        <w:rPr>
          <w:rFonts w:ascii="Microsoft JhengHei" w:hAnsi="Microsoft JhengHei" w:eastAsia="Microsoft JhengHei"/>
          <w:b w:val="0"/>
          <w:i w:val="0"/>
          <w:color w:val="243247"/>
          <w:sz w:val="21"/>
        </w:rPr>
        <w:t>此節是任命後的追蹤表單設計，不是本案例已授課或已有成效。實際授課後應把觀察與學員回饋連回遴選面向，並作成續聘、補強或停止合作的有權決定。</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472"/>
        <w:gridCol w:w="2472"/>
        <w:gridCol w:w="2472"/>
        <w:gridCol w:w="2472"/>
      </w:tblGrid>
      <w:tr>
        <w:trPr>
          <w:tblHeader w:val="true"/>
          <w:cantSplit/>
        </w:trPr>
        <w:tc>
          <w:tcPr>
            <w:tcW w:type="dxa" w:w="180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追蹤時點</w:t>
            </w:r>
          </w:p>
        </w:tc>
        <w:tc>
          <w:tcPr>
            <w:tcW w:type="dxa" w:w="295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收集資料</w:t>
            </w:r>
          </w:p>
        </w:tc>
        <w:tc>
          <w:tcPr>
            <w:tcW w:type="dxa" w:w="259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判讀問題</w:t>
            </w:r>
          </w:p>
        </w:tc>
        <w:tc>
          <w:tcPr>
            <w:tcW w:type="dxa" w:w="244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責任／處置</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課前</w:t>
            </w:r>
          </w:p>
        </w:tc>
        <w:tc>
          <w:tcPr>
            <w:tcW w:type="dxa" w:w="29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核定課程、教材版本、講師資格原件、場地與個資說明。</w:t>
            </w:r>
          </w:p>
        </w:tc>
        <w:tc>
          <w:tcPr>
            <w:tcW w:type="dxa" w:w="25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人、課程、版本和核准條件是否一致？</w:t>
            </w:r>
          </w:p>
        </w:tc>
        <w:tc>
          <w:tcPr>
            <w:tcW w:type="dxa" w:w="24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承辦核對；任一不一致先暫停開課。</w:t>
            </w:r>
          </w:p>
        </w:tc>
      </w:tr>
      <w:tr>
        <w:trPr>
          <w:cantSplit/>
        </w:trPr>
        <w:tc>
          <w:tcPr>
            <w:tcW w:type="dxa" w:w="180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課中</w:t>
            </w:r>
          </w:p>
        </w:tc>
        <w:tc>
          <w:tcPr>
            <w:tcW w:type="dxa" w:w="29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出席、授課完成度、學員練習、重大偏差或安全事件。</w:t>
            </w:r>
          </w:p>
        </w:tc>
        <w:tc>
          <w:tcPr>
            <w:tcW w:type="dxa" w:w="25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教學是否達標；是否需即時調整？</w:t>
            </w:r>
          </w:p>
        </w:tc>
        <w:tc>
          <w:tcPr>
            <w:tcW w:type="dxa" w:w="24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授課承辦記錄事實，不把未觀察寫成通過。</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課後 5 個工作日（示例時限）</w:t>
            </w:r>
          </w:p>
        </w:tc>
        <w:tc>
          <w:tcPr>
            <w:tcW w:type="dxa" w:w="29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學員回饋、成果作品、講師自評及改進建議。</w:t>
            </w:r>
          </w:p>
        </w:tc>
        <w:tc>
          <w:tcPr>
            <w:tcW w:type="dxa" w:w="25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目標達成情形如何；資料是否足以支持結論？</w:t>
            </w:r>
          </w:p>
        </w:tc>
        <w:tc>
          <w:tcPr>
            <w:tcW w:type="dxa" w:w="24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承辦彙整；不足時標 UNKNOWN 並補證據。</w:t>
            </w:r>
          </w:p>
        </w:tc>
      </w:tr>
      <w:tr>
        <w:trPr>
          <w:cantSplit/>
        </w:trPr>
        <w:tc>
          <w:tcPr>
            <w:tcW w:type="dxa" w:w="180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下次遴選前</w:t>
            </w:r>
          </w:p>
        </w:tc>
        <w:tc>
          <w:tcPr>
            <w:tcW w:type="dxa" w:w="29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歷次回饋、改進閉環、申訴或事件處理。</w:t>
            </w:r>
          </w:p>
        </w:tc>
        <w:tc>
          <w:tcPr>
            <w:tcW w:type="dxa" w:w="25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是否調整量尺、教材或聘任條件？</w:t>
            </w:r>
          </w:p>
        </w:tc>
        <w:tc>
          <w:tcPr>
            <w:tcW w:type="dxa" w:w="24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有權者核定變更並保留版次。</w:t>
            </w:r>
          </w:p>
        </w:tc>
      </w:tr>
    </w:tbl>
    <w:p>
      <w:pPr>
        <w:spacing w:after="0"/>
      </w:pPr>
    </w:p>
    <w:p>
      <w:pPr>
        <w:pStyle w:val="Heading1"/>
        <w:keepNext/>
        <w:pageBreakBefore w:val="0"/>
        <w:spacing w:before="200" w:after="100"/>
      </w:pPr>
      <w:r>
        <w:rPr>
          <w:rFonts w:ascii="Microsoft JhengHei" w:hAnsi="Microsoft JhengHei" w:eastAsia="Microsoft JhengHei"/>
          <w:b/>
          <w:i w:val="0"/>
          <w:color w:val="17365D"/>
          <w:sz w:val="32"/>
        </w:rPr>
        <w:t>12｜真實使用替換清冊與完整證據鏈</w:t>
      </w:r>
    </w:p>
    <w:p>
      <w:pPr>
        <w:spacing w:before="0" w:after="100" w:line="269" w:lineRule="auto"/>
      </w:pPr>
      <w:r>
        <w:rPr>
          <w:rFonts w:ascii="Microsoft JhengHei" w:hAnsi="Microsoft JhengHei" w:eastAsia="Microsoft JhengHei"/>
          <w:b w:val="0"/>
          <w:i w:val="0"/>
          <w:color w:val="243247"/>
          <w:sz w:val="21"/>
        </w:rPr>
        <w:t>本節隨附一份逐筆替換清冊，逐筆列出合成資料、假設理由、跨文件引用、應取得的真實原始來源、負責核實角色、真實／合成狀態及 HOLD 條件，共 52 筆；不得直接把示範值複製為真實紀錄。下表列出主要證據鏈。</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472"/>
        <w:gridCol w:w="2472"/>
        <w:gridCol w:w="2472"/>
        <w:gridCol w:w="2472"/>
      </w:tblGrid>
      <w:tr>
        <w:trPr>
          <w:tblHeader w:val="true"/>
          <w:cantSplit/>
        </w:trPr>
        <w:tc>
          <w:tcPr>
            <w:tcW w:type="dxa" w:w="79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順序</w:t>
            </w:r>
          </w:p>
        </w:tc>
        <w:tc>
          <w:tcPr>
            <w:tcW w:type="dxa" w:w="446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真實原始證據</w:t>
            </w:r>
          </w:p>
        </w:tc>
        <w:tc>
          <w:tcPr>
            <w:tcW w:type="dxa" w:w="295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形成／保管責任</w:t>
            </w:r>
          </w:p>
        </w:tc>
        <w:tc>
          <w:tcPr>
            <w:tcW w:type="dxa" w:w="158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缺件時狀態</w:t>
            </w:r>
          </w:p>
        </w:tc>
      </w:tr>
      <w:tr>
        <w:trPr>
          <w:cantSplit/>
        </w:trPr>
        <w:tc>
          <w:tcPr>
            <w:tcW w:type="dxa" w:w="7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w:t>
            </w:r>
          </w:p>
        </w:tc>
        <w:tc>
          <w:tcPr>
            <w:tcW w:type="dxa" w:w="446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現行章程、委員會設置／任期／權限及聘書簽發授權。</w:t>
            </w:r>
          </w:p>
        </w:tc>
        <w:tc>
          <w:tcPr>
            <w:tcW w:type="dxa" w:w="29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秘書／有權治理者核對正本或受控副本。</w:t>
            </w:r>
          </w:p>
        </w:tc>
        <w:tc>
          <w:tcPr>
            <w:tcW w:type="dxa" w:w="15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HOLD：不得開會作成正式決議。</w:t>
            </w:r>
          </w:p>
        </w:tc>
      </w:tr>
      <w:tr>
        <w:trPr>
          <w:cantSplit/>
        </w:trPr>
        <w:tc>
          <w:tcPr>
            <w:tcW w:type="dxa" w:w="7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w:t>
            </w:r>
          </w:p>
        </w:tc>
        <w:tc>
          <w:tcPr>
            <w:tcW w:type="dxa" w:w="446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有日期的職能需求、課程目標、對象與課程計畫版次。</w:t>
            </w:r>
          </w:p>
        </w:tc>
        <w:tc>
          <w:tcPr>
            <w:tcW w:type="dxa" w:w="29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需求提出人與課程承辦；版本連結至課程檔案。</w:t>
            </w:r>
          </w:p>
        </w:tc>
        <w:tc>
          <w:tcPr>
            <w:tcW w:type="dxa" w:w="15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HOLD：不得以本合成需求代替。</w:t>
            </w:r>
          </w:p>
        </w:tc>
      </w:tr>
      <w:tr>
        <w:trPr>
          <w:cantSplit/>
        </w:trPr>
        <w:tc>
          <w:tcPr>
            <w:tcW w:type="dxa" w:w="7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3</w:t>
            </w:r>
          </w:p>
        </w:tc>
        <w:tc>
          <w:tcPr>
            <w:tcW w:type="dxa" w:w="446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候選人本人履歷、資格原件及獨立查驗紀錄。</w:t>
            </w:r>
          </w:p>
        </w:tc>
        <w:tc>
          <w:tcPr>
            <w:tcW w:type="dxa" w:w="29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遴選承辦；保留來源、日期、方式與核驗人。</w:t>
            </w:r>
          </w:p>
        </w:tc>
        <w:tc>
          <w:tcPr>
            <w:tcW w:type="dxa" w:w="15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HOLD：未查驗不得列為資格 PASS。</w:t>
            </w:r>
          </w:p>
        </w:tc>
      </w:tr>
      <w:tr>
        <w:trPr>
          <w:cantSplit/>
        </w:trPr>
        <w:tc>
          <w:tcPr>
            <w:tcW w:type="dxa" w:w="7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4</w:t>
            </w:r>
          </w:p>
        </w:tc>
        <w:tc>
          <w:tcPr>
            <w:tcW w:type="dxa" w:w="446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三位評審原始評分、試教觀察、利益衝突申報。</w:t>
            </w:r>
          </w:p>
        </w:tc>
        <w:tc>
          <w:tcPr>
            <w:tcW w:type="dxa" w:w="29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各評審獨立簽署；承辦保留原始版本。</w:t>
            </w:r>
          </w:p>
        </w:tc>
        <w:tc>
          <w:tcPr>
            <w:tcW w:type="dxa" w:w="15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HOLD：不可補寫一致意見掩蓋差異。</w:t>
            </w:r>
          </w:p>
        </w:tc>
      </w:tr>
      <w:tr>
        <w:trPr>
          <w:cantSplit/>
        </w:trPr>
        <w:tc>
          <w:tcPr>
            <w:tcW w:type="dxa" w:w="7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5</w:t>
            </w:r>
          </w:p>
        </w:tc>
        <w:tc>
          <w:tcPr>
            <w:tcW w:type="dxa" w:w="446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合法通知、簽到、會議記錄、附件、逐項決議及表決結果。</w:t>
            </w:r>
          </w:p>
        </w:tc>
        <w:tc>
          <w:tcPr>
            <w:tcW w:type="dxa" w:w="29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有權主席與紀錄員；保存更正軌跡。</w:t>
            </w:r>
          </w:p>
        </w:tc>
        <w:tc>
          <w:tcPr>
            <w:tcW w:type="dxa" w:w="15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HOLD：不得稱已核准。</w:t>
            </w:r>
          </w:p>
        </w:tc>
      </w:tr>
      <w:tr>
        <w:trPr>
          <w:cantSplit/>
        </w:trPr>
        <w:tc>
          <w:tcPr>
            <w:tcW w:type="dxa" w:w="7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6</w:t>
            </w:r>
          </w:p>
        </w:tc>
        <w:tc>
          <w:tcPr>
            <w:tcW w:type="dxa" w:w="446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有權核定的聘書、簽發與送達證明、講師接受／回簽。</w:t>
            </w:r>
          </w:p>
        </w:tc>
        <w:tc>
          <w:tcPr>
            <w:tcW w:type="dxa" w:w="29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授權簽發人及聘任承辦；登錄原件位置。</w:t>
            </w:r>
          </w:p>
        </w:tc>
        <w:tc>
          <w:tcPr>
            <w:tcW w:type="dxa" w:w="15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HOLD：不得授課或支付，除非另有有效授權依據。</w:t>
            </w:r>
          </w:p>
        </w:tc>
      </w:tr>
      <w:tr>
        <w:trPr>
          <w:cantSplit/>
        </w:trPr>
        <w:tc>
          <w:tcPr>
            <w:tcW w:type="dxa" w:w="7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7</w:t>
            </w:r>
          </w:p>
        </w:tc>
        <w:tc>
          <w:tcPr>
            <w:tcW w:type="dxa" w:w="446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課前核對、課程執行、課後評估及改進紀錄。</w:t>
            </w:r>
          </w:p>
        </w:tc>
        <w:tc>
          <w:tcPr>
            <w:tcW w:type="dxa" w:w="29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課程承辦與評估責任人。</w:t>
            </w:r>
          </w:p>
        </w:tc>
        <w:tc>
          <w:tcPr>
            <w:tcW w:type="dxa" w:w="15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UNKNOWN：未實際發生前不可填結果。</w:t>
            </w:r>
          </w:p>
        </w:tc>
      </w:tr>
    </w:tbl>
    <w:p>
      <w:pPr>
        <w:spacing w:after="0"/>
      </w:pPr>
    </w:p>
    <w:p>
      <w:pPr>
        <w:pStyle w:val="Heading1"/>
        <w:keepNext/>
        <w:pageBreakBefore w:val="0"/>
        <w:spacing w:before="200" w:after="100"/>
      </w:pPr>
      <w:r>
        <w:rPr>
          <w:rFonts w:ascii="Microsoft JhengHei" w:hAnsi="Microsoft JhengHei" w:eastAsia="Microsoft JhengHei"/>
          <w:b/>
          <w:i w:val="0"/>
          <w:color w:val="17365D"/>
          <w:sz w:val="32"/>
        </w:rPr>
        <w:t>13｜文件狀態與驗收控制</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45"/>
        <w:gridCol w:w="4945"/>
      </w:tblGrid>
      <w:tr>
        <w:trPr>
          <w:tblHeader w:val="true"/>
          <w:cantSplit/>
        </w:trPr>
        <w:tc>
          <w:tcPr>
            <w:tcW w:type="dxa" w:w="216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欄位</w:t>
            </w:r>
          </w:p>
        </w:tc>
        <w:tc>
          <w:tcPr>
            <w:tcW w:type="dxa" w:w="756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狀態／內容</w:t>
            </w:r>
          </w:p>
        </w:tc>
      </w:tr>
      <w:tr>
        <w:trPr>
          <w:cantSplit/>
        </w:trPr>
        <w:tc>
          <w:tcPr>
            <w:tcW w:type="dxa" w:w="216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範例定位</w:t>
            </w:r>
          </w:p>
        </w:tc>
        <w:tc>
          <w:tcPr>
            <w:tcW w:type="dxa" w:w="756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講師遴選與聘任流程範例；對應官方指標 12c（需求代碼 I12-E03；官方方框 058）。</w:t>
            </w:r>
          </w:p>
        </w:tc>
      </w:tr>
      <w:tr>
        <w:trPr>
          <w:cantSplit/>
        </w:trPr>
        <w:tc>
          <w:tcPr>
            <w:tcW w:type="dxa" w:w="216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候選狀態</w:t>
            </w:r>
          </w:p>
        </w:tc>
        <w:tc>
          <w:tcPr>
            <w:tcW w:type="dxa" w:w="756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候選示範文件；不是協會正式核准、任命或真實證據。</w:t>
            </w:r>
          </w:p>
        </w:tc>
      </w:tr>
      <w:tr>
        <w:trPr>
          <w:cantSplit/>
        </w:trPr>
        <w:tc>
          <w:tcPr>
            <w:tcW w:type="dxa" w:w="216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來源依據</w:t>
            </w:r>
          </w:p>
        </w:tc>
        <w:tc>
          <w:tcPr>
            <w:tcW w:type="dxa" w:w="756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官方訓練品質評核表第 4 頁指標 12c；寫作手冊指標 10 與 12；官方方框 058 的內容方向。來源版本資訊另存於驗收附屬檔案。</w:t>
            </w:r>
          </w:p>
        </w:tc>
      </w:tr>
      <w:tr>
        <w:trPr>
          <w:cantSplit/>
        </w:trPr>
        <w:tc>
          <w:tcPr>
            <w:tcW w:type="dxa" w:w="216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一致性核對</w:t>
            </w:r>
          </w:p>
        </w:tc>
        <w:tc>
          <w:tcPr>
            <w:tcW w:type="dxa" w:w="756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課程 360 分鐘＝90+90+120+60；五權重合計 100%；加權總分 C-01 82.6、C-02 81.0、C-03 87.6；排序一致。</w:t>
            </w:r>
          </w:p>
        </w:tc>
      </w:tr>
      <w:tr>
        <w:trPr>
          <w:cantSplit/>
        </w:trPr>
        <w:tc>
          <w:tcPr>
            <w:tcW w:type="dxa" w:w="216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形式與樣本界線</w:t>
            </w:r>
          </w:p>
        </w:tc>
        <w:tc>
          <w:tcPr>
            <w:tcW w:type="dxa" w:w="756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全文件及表單標為 SAMPLE/SYNTHETIC；無真實人名、證照影本、核准簽章或任命事實。聘書標 NOT ISSUED / NOT VALID。</w:t>
            </w:r>
          </w:p>
        </w:tc>
      </w:tr>
      <w:tr>
        <w:trPr>
          <w:cantSplit/>
        </w:trPr>
        <w:tc>
          <w:tcPr>
            <w:tcW w:type="dxa" w:w="216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正式使用前的驗收要求</w:t>
            </w:r>
          </w:p>
        </w:tc>
        <w:tc>
          <w:tcPr>
            <w:tcW w:type="dxa" w:w="756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須完成技術版面檢查、全頁目視、獨立語意複核與人工驗收；本文件目前僅為候選示範，尚未取得任何正式驗收。</w:t>
            </w:r>
          </w:p>
        </w:tc>
      </w:tr>
    </w:tbl>
    <w:p>
      <w:pPr>
        <w:spacing w:after="0"/>
      </w:pPr>
    </w:p>
    <w:sectPr w:rsidR="00FC693F" w:rsidRPr="0006063C" w:rsidSect="00034616">
      <w:headerReference w:type="default" r:id="rId9"/>
      <w:footerReference w:type="default" r:id="rId10"/>
      <w:pgSz w:w="11906" w:h="16838"/>
      <w:pgMar w:top="893" w:right="1008" w:bottom="893"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i w:val="0"/>
        <w:color w:val="64748B"/>
        <w:sz w:val="16"/>
      </w:rPr>
      <w:t xml:space="preserve">講師遴選與聘任流程範例　•　SAMPLE / SYNTHETIC　•　第 </w:t>
    </w:r>
    <w:fldSimple w:instr="PAGE"/>
    <w:r>
      <w:rPr>
        <w:rFonts w:ascii="Microsoft JhengHei" w:hAnsi="Microsoft JhengHei" w:eastAsia="Microsoft JhengHei"/>
        <w:b w:val="0"/>
        <w:i w:val="0"/>
        <w:color w:val="64748B"/>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i w:val="0"/>
        <w:color w:val="64748B"/>
        <w:sz w:val="16"/>
      </w:rPr>
      <w:t>原始點協會｜講師遴選與聘任流程範例　•　示範文件，非正式任命紀錄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icrosoft JhengHei" w:hAnsi="Microsoft JhengHei" w:eastAsia="Microsoft JhengHei"/>
      <w:color w:val="2432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Microsoft JhengHei" w:hAnsi="Microsoft JhengHei" w:eastAsia="Microsoft JhengHei"/>
      <w:color w:val="24324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Microsoft JhengHei" w:hAnsi="Microsoft JhengHei" w:eastAsia="Microsoft JhengHei"/>
      <w:color w:val="243247"/>
      <w:sz w:val="21"/>
    </w:rPr>
  </w:style>
  <w:style w:type="paragraph" w:styleId="ListBullet2">
    <w:name w:val="List Bullet 2"/>
    <w:basedOn w:val="Normal"/>
    <w:uiPriority w:val="99"/>
    <w:unhideWhenUsed/>
    <w:rsid w:val="00326F90"/>
    <w:pPr>
      <w:numPr>
        <w:numId w:val="2"/>
      </w:numPr>
      <w:spacing w:after="80"/>
      <w:contextualSpacing/>
    </w:pPr>
    <w:rPr>
      <w:rFonts w:ascii="Microsoft JhengHei" w:hAnsi="Microsoft JhengHei" w:eastAsia="Microsoft JhengHei"/>
      <w:color w:val="243247"/>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Microsoft JhengHei" w:hAnsi="Microsoft JhengHei" w:eastAsia="Microsoft JhengHei"/>
      <w:color w:val="24324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講師遴選與聘任證據包｜DOCX 0055 R02｜SAMPLE/SYNTHETIC</dc:title>
  <dc:subject>I12-E03 / official checkbox 058; instructor selection and appointment evidence pack</dc:subject>
  <dc:creator>TTQS ONE candidate document builder</dc:creator>
  <cp:keywords>SAMPLE; SYNTHETIC; I12-E03; checkbox 058; 0055</cp:keywords>
  <dc:description>generated by python-docx</dc:description>
  <cp:lastModifiedBy/>
  <cp:revision>1</cp:revision>
  <dcterms:created xsi:type="dcterms:W3CDTF">2013-12-23T23:15:00Z</dcterms:created>
  <dcterms:modified xsi:type="dcterms:W3CDTF">2013-12-23T23:15:00Z</dcterms:modified>
  <cp:category/>
</cp:coreProperties>
</file>