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Microsoft JhengHei" w:hAnsi="Microsoft JhengHei" w:eastAsia="Microsoft JhengHei" w:cs="Microsoft JhengHei"/>
          <w:b/>
          <w:i w:val="0"/>
          <w:sz w:val="38"/>
        </w:rPr>
        <w:t>個人訓後績效改善個案分析表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文件編號：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TTQS-0128-I19-E17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指標對應：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TTQS 訓練機構版 指標 19（訓練成果評估）三階指標項目 E17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官方審查要旨：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「相關證據顯示個人訓練後之績效改善成果。」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文件性質：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訓練行政作業與 TTQS 評核專用個案分析報告暨標準表單（非一般問卷、非滿意度調查、非人事升遷考績單）</w:t>
      </w:r>
    </w:p>
    <w:p>
      <w:pPr>
        <w:spacing w:before="60" w:after="60"/>
        <w:ind w:left="202"/>
        <w:shd w:fill="EAF2F8"/>
      </w:pPr>
      <w:r>
        <w:rPr>
          <w:rFonts w:ascii="Microsoft JhengHei" w:hAnsi="Microsoft JhengHei" w:eastAsia="Microsoft JhengHei" w:cs="Microsoft JhengHei"/>
          <w:b/>
          <w:i w:val="0"/>
          <w:color w:val="194169"/>
          <w:sz w:val="21"/>
        </w:rPr>
        <w:t>資料提醒｜CAUTION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【重要宣告：全份報告資料屬性聲明】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1. 本文件中所出現之課程代碼（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S-COURSE-01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）、人員編號（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S-EMP-01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至 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S-EMP-06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）、日期區間（2026-03-16 至 2026-06-14）、數據比率及日誌代碼（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SAMPLE/SYS-LOG-*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），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全數為合成模擬範例（SAMPLE / SYNTHETIC DATA）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，並非任何公協會或機構之真實營運紀錄。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2. TTQS 官方指引並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未提供通用之數值合格門檻（No official common numeric pass threshold）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。本表所列基準、指標定義與樣本數充足性，於正式導入時，必須由機構內部權責主管依業務特性事前核定。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3. 本分析表旨在呈現「受訓個人於特定工作任務之績效前後客觀數據變化」，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不代表亦不得直接宣稱訓練與績效改善間具備絕對因果關係（Causality）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，嚴禁將課堂測驗成績、行為改變與組織整體績效混為一談。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sz w:val="30"/>
        </w:rPr>
        <w:t>壹、三十秒使用說明與作業治理規範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一、30 秒快速導讀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編製人員：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訓練專案管理師／訓練行政專責人員。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編製時機：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訓後工作成果檢視期結束時（本範例為訓後 30 至 60 天追蹤區間）。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REAL 資料來源類型：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經授權的工作系統初審紀錄、可追溯的抽樣清冊與課堂實作原件。這些原件本範例尚未提供；稿內數值僅來自合成 SAMPLE 表。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支援決策：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評估個別人員之課堂學習成果是否有效轉移至日常工作任務。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識別訓後績效持平或下滑之個案，啟動個別化輔導、補訓或作業程序再檢視。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作為次年度課程規劃、教材難易度調整與職能缺口分析之校準依據。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嚴禁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直接作為人事懲戒、降薪或解聘之唯一依據。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二、作業治理與權限控管原則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本文件範疇界定：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本表專注於「個人層次（Individual Level）之工作任務產出成果」，嚴格區隔於指標 19-E14（薪資/升遷紀錄）與 19-E16（市場/客戶價值延伸效益）。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去識別化與隱私防護：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呈送外部評核或跨部門陳閱時，所有受訓學員真實姓名與員工編號必須轉換為代碼（如 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S-EMP-xx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）。真實身分對照表（Pseudonym Key）必須由訓練專責人員單獨加密保管，嚴禁隨附於公開文檔。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sz w:val="30"/>
        </w:rPr>
        <w:t>貳、作業路徑與績效指標資料字典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一、實際使用時的作業路徑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確認工作任務與能力缺口。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先從有權限的職務資料或訓練需求紀錄，寫明員工要完成的工作、目前落差及本次訓練要練習的能力。本頁示例只提供「資料欄位／程序核對能力缺口」與「報名資料首次核對正確率」；沒有提供真實需求紀錄。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先定義量法，再收集前測。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由有權責者在量測前核定工作任務、正確分子的判準、分母範圍、排除條件、資料期間、抽樣方式及合理樣本量。這些是實際執行前要確認的項目，不是本範例已完成的核定，也沒有統一官方數值門檻。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記錄訓練和學習評量。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連結課程計畫、出席資料及實作評量原件。本範例僅有課程代碼與技能示範分數；課程名稱、課程內容、時數、實際出席及原始測驗卷均為 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UNKNOWN_UNTIL_SOURCE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使用同一工作定義收集訓後資料。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訓後資料須按事前核定的期間及抽樣規則取得，保留來源定位及排除紀錄。示例期間與每期 20 件只是合成資料設定，不能當作協會已執行的抽樣或官方最低樣本數。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檢查可比性並重算。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對照任務、分子分母、工具版本、案件組成及工作環境；無法確認或校正的差異應標示並暫緩解讀。先合併分子與分母算整體率，再計算百分點差，不以六個百分率的簡單平均取代加權比率。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作出描述性判讀並追蹤。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先說清楚觀察到上升、持平或下降，再交代證據限制；不能單憑前後比較宣稱訓練造成結果。若資料未取得或不具可比性，維持 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HOLD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，並列出補件及下一個責任角色。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二、欄位與計算字典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定義及使用方式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本範例可確認的內容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工作指標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報名資料首次核對正確率；只描述指定工作任務，不代表整體工作表現。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 情境。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正確分子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依事前核定判準，第一次核對即符合要求的案件數。需能回查逐件紀錄。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合成資料提供各案分子；沒有 REAL 原始紀錄。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分母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同期間納入相同任務的可比案件總數；排除規則及其理由須事前記錄。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每案每期 20 件是此 SAMPLE 的設定，非官方門檻。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比率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正確分子 ÷ 分母 × 100%。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六案前後比率可由合成分子分母重算。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百分點差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訓後百分率 − 訓前百分率。不得寫成相對成長百分率。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合併分子/分母計算；此處為 +6.6667 個百分點。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技能示範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課堂或練習中的學習表現，須與工作資料分欄呈現。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合成分數 33/60 至 48/60；不等於職場 KPI。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來源定位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使用經授權的系統紀錄、工作樣本或評量原件位置，保留版本及期間；公開稿僅留去識別化索引。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SAMPLE/SYS-LOG-*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是示例代碼，並無真實系統日誌。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目標與樣本充分性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由具權責者在量測前，依工作任務、風險、資料量和取樣方法設定並留痕。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無統一官方及格門檻；本範例沒有核定門檻。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排除特殊任務、協作案件或系統異常案件時，應先訂出可重現規則，保留排除筆數與理由；不能看到結果後才選擇性剔除。實際抽樣方法、案件難度分層及核定角色均須由 REAL 來源確認，本範例不宣稱已採用隨機抽樣。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sz w:val="30"/>
        </w:rPr>
        <w:t>參、六案個案績效前後對比分析總表（SAMPLE 資料集）</w:t>
      </w:r>
    </w:p>
    <w:p>
      <w:pPr>
        <w:spacing w:before="60" w:after="60"/>
        <w:ind w:left="202"/>
        <w:shd w:fill="EAF2F8"/>
      </w:pPr>
      <w:r>
        <w:rPr>
          <w:rFonts w:ascii="Microsoft JhengHei" w:hAnsi="Microsoft JhengHei" w:eastAsia="Microsoft JhengHei" w:cs="Microsoft JhengHei"/>
          <w:b/>
          <w:i w:val="0"/>
          <w:color w:val="194169"/>
          <w:sz w:val="21"/>
        </w:rPr>
        <w:t>資料提醒｜NOTE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本表所有數據為合成模擬資料（SAMPLE）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。設計情境：6 名受訓人員於訓前（2026-03-16 至 2026-04-14）與訓後（2026-05-16 至 2026-06-14）各抽樣 20 件可比案件，總計各 120 件。工作負荷與系統工具版本保持恆定為設計假設，非現實檢驗結果。</w:t>
      </w:r>
    </w:p>
    <w:p>
      <w:pPr>
        <w:sectPr>
          <w:footerReference w:type="default" r:id="rId9"/>
          <w:pgSz w:w="11909" w:h="16834"/>
          <w:pgMar w:top="936" w:right="979" w:bottom="936" w:left="979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25"/>
        <w:gridCol w:w="1525"/>
        <w:gridCol w:w="1525"/>
        <w:gridCol w:w="1525"/>
        <w:gridCol w:w="1525"/>
        <w:gridCol w:w="1525"/>
        <w:gridCol w:w="1525"/>
        <w:gridCol w:w="1525"/>
        <w:gridCol w:w="1525"/>
        <w:gridCol w:w="1525"/>
      </w:tblGrid>
      <w:tr>
        <w:trPr>
          <w:cantSplit/>
          <w:tblHeader w:val="true"/>
        </w:trPr>
        <w:tc>
          <w:tcPr>
            <w:tcW w:type="dxa" w:w="117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個案代碼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訓前正確數 / 總數 (n=20)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訓前正確率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訓後正確數 / 總數 (n=20)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訓後正確率</w:t>
            </w:r>
          </w:p>
        </w:tc>
        <w:tc>
          <w:tcPr>
            <w:tcW w:type="dxa" w:w="12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職場 KPI 變動 (百分點)</w:t>
            </w:r>
          </w:p>
        </w:tc>
        <w:tc>
          <w:tcPr>
            <w:tcW w:type="dxa" w:w="1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課堂實作分數 (訓前 → 訓後 / 滿分10)</w:t>
            </w:r>
          </w:p>
        </w:tc>
        <w:tc>
          <w:tcPr>
            <w:tcW w:type="dxa" w:w="17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系統日誌證據編號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觀察查核狀態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個案績效變動判定</w:t>
            </w:r>
          </w:p>
        </w:tc>
      </w:tr>
      <w:tr>
        <w:trPr>
          <w:cantSplit/>
        </w:trPr>
        <w:tc>
          <w:tcPr>
            <w:tcW w:type="dxa" w:w="117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S-EMP-01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14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70.00%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18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90.00%</w:t>
            </w:r>
          </w:p>
        </w:tc>
        <w:tc>
          <w:tcPr>
            <w:tcW w:type="dxa" w:w="12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+20.00 pp</w:t>
            </w:r>
          </w:p>
        </w:tc>
        <w:tc>
          <w:tcPr>
            <w:tcW w:type="dxa" w:w="1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 → 8 (+4)</w:t>
            </w:r>
          </w:p>
        </w:tc>
        <w:tc>
          <w:tcPr>
            <w:tcW w:type="dxa" w:w="17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SAMPLE/SYS-LOG-S-EMP-01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SAMPLE_ONLY_NO_REAL_OBSERVER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觀察到上升（+20.00 pp；SAMPLE）</w:t>
            </w:r>
          </w:p>
        </w:tc>
      </w:tr>
      <w:tr>
        <w:trPr>
          <w:cantSplit/>
        </w:trPr>
        <w:tc>
          <w:tcPr>
            <w:tcW w:type="dxa" w:w="117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S-EMP-02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16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80.00%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18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90.00%</w:t>
            </w:r>
          </w:p>
        </w:tc>
        <w:tc>
          <w:tcPr>
            <w:tcW w:type="dxa" w:w="12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+10.00 pp</w:t>
            </w:r>
          </w:p>
        </w:tc>
        <w:tc>
          <w:tcPr>
            <w:tcW w:type="dxa" w:w="1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→ 8 (+3)</w:t>
            </w:r>
          </w:p>
        </w:tc>
        <w:tc>
          <w:tcPr>
            <w:tcW w:type="dxa" w:w="17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SAMPLE/SYS-LOG-S-EMP-02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SAMPLE_ONLY_NO_REAL_OBSERVER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觀察到上升（+10.00 pp；SAMPLE）</w:t>
            </w:r>
          </w:p>
        </w:tc>
      </w:tr>
      <w:tr>
        <w:trPr>
          <w:cantSplit/>
        </w:trPr>
        <w:tc>
          <w:tcPr>
            <w:tcW w:type="dxa" w:w="117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S-EMP-03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15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75.00%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14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70.00%</w:t>
            </w:r>
          </w:p>
        </w:tc>
        <w:tc>
          <w:tcPr>
            <w:tcW w:type="dxa" w:w="12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-5.00 pp</w:t>
            </w:r>
          </w:p>
        </w:tc>
        <w:tc>
          <w:tcPr>
            <w:tcW w:type="dxa" w:w="1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 → 7 (+1)</w:t>
            </w:r>
          </w:p>
        </w:tc>
        <w:tc>
          <w:tcPr>
            <w:tcW w:type="dxa" w:w="17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SAMPLE/SYS-LOG-S-EMP-03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SAMPLE_ONLY_NO_REAL_OBSERVER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微幅下滑（需輔導排查）</w:t>
            </w:r>
          </w:p>
        </w:tc>
      </w:tr>
      <w:tr>
        <w:trPr>
          <w:cantSplit/>
        </w:trPr>
        <w:tc>
          <w:tcPr>
            <w:tcW w:type="dxa" w:w="117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S-EMP-04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18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90.00%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19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95.00%</w:t>
            </w:r>
          </w:p>
        </w:tc>
        <w:tc>
          <w:tcPr>
            <w:tcW w:type="dxa" w:w="12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+5.00 pp</w:t>
            </w:r>
          </w:p>
        </w:tc>
        <w:tc>
          <w:tcPr>
            <w:tcW w:type="dxa" w:w="1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 → 9 (+2)</w:t>
            </w:r>
          </w:p>
        </w:tc>
        <w:tc>
          <w:tcPr>
            <w:tcW w:type="dxa" w:w="17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SAMPLE/SYS-LOG-S-EMP-04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SAMPLE_ONLY_NO_REAL_OBSERVER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觀察到上升（+5.00 pp；SAMPLE）</w:t>
            </w:r>
          </w:p>
        </w:tc>
      </w:tr>
      <w:tr>
        <w:trPr>
          <w:cantSplit/>
        </w:trPr>
        <w:tc>
          <w:tcPr>
            <w:tcW w:type="dxa" w:w="117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S-EMP-05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13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65.00%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15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75.00%</w:t>
            </w:r>
          </w:p>
        </w:tc>
        <w:tc>
          <w:tcPr>
            <w:tcW w:type="dxa" w:w="12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+10.00 pp</w:t>
            </w:r>
          </w:p>
        </w:tc>
        <w:tc>
          <w:tcPr>
            <w:tcW w:type="dxa" w:w="1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 → 7 (+4)</w:t>
            </w:r>
          </w:p>
        </w:tc>
        <w:tc>
          <w:tcPr>
            <w:tcW w:type="dxa" w:w="17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SAMPLE/SYS-LOG-S-EMP-05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SAMPLE_ONLY_NO_REAL_OBSERVER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觀察到上升（+10.00 pp；SAMPLE）</w:t>
            </w:r>
          </w:p>
        </w:tc>
      </w:tr>
      <w:tr>
        <w:trPr>
          <w:cantSplit/>
        </w:trPr>
        <w:tc>
          <w:tcPr>
            <w:tcW w:type="dxa" w:w="117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S-EMP-06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17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85.00%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17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85.00%</w:t>
            </w:r>
          </w:p>
        </w:tc>
        <w:tc>
          <w:tcPr>
            <w:tcW w:type="dxa" w:w="12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0.00 pp</w:t>
            </w:r>
          </w:p>
        </w:tc>
        <w:tc>
          <w:tcPr>
            <w:tcW w:type="dxa" w:w="1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8 → 9 (+1)</w:t>
            </w:r>
          </w:p>
        </w:tc>
        <w:tc>
          <w:tcPr>
            <w:tcW w:type="dxa" w:w="17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SAMPLE/SYS-LOG-S-EMP-06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SAMPLE_ONLY_NO_REAL_OBSERVER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持平未變（高基線維持）</w:t>
            </w:r>
          </w:p>
        </w:tc>
      </w:tr>
      <w:tr>
        <w:trPr>
          <w:cantSplit/>
        </w:trPr>
        <w:tc>
          <w:tcPr>
            <w:tcW w:type="dxa" w:w="117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合併分子分母 / 加權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93 / 120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77.50%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101 / 120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84.17%</w:t>
            </w:r>
          </w:p>
        </w:tc>
        <w:tc>
          <w:tcPr>
            <w:tcW w:type="dxa" w:w="12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+6.67 pp</w:t>
            </w:r>
          </w:p>
        </w:tc>
        <w:tc>
          <w:tcPr>
            <w:tcW w:type="dxa" w:w="1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33/60 (55%) → 48/60 (80%)</w:t>
            </w:r>
          </w:p>
        </w:tc>
        <w:tc>
          <w:tcPr>
            <w:tcW w:type="dxa" w:w="17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6 個 SAMPLE 日誌定位碼示例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全數為模擬審查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整體加權比率差 +6.6667 pp（SAMPLE）</w:t>
            </w:r>
          </w:p>
        </w:tc>
      </w:tr>
    </w:tbl>
    <w:p>
      <w:pPr>
        <w:spacing w:after="20"/>
      </w:pPr>
    </w:p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spacing w:before="60" w:after="60"/>
        <w:ind w:left="202"/>
        <w:shd w:fill="EAF2F8"/>
      </w:pPr>
      <w:r>
        <w:rPr>
          <w:rFonts w:ascii="Microsoft JhengHei" w:hAnsi="Microsoft JhengHei" w:eastAsia="Microsoft JhengHei" w:cs="Microsoft JhengHei"/>
          <w:b/>
          <w:i w:val="0"/>
          <w:color w:val="194169"/>
          <w:sz w:val="21"/>
        </w:rPr>
        <w:t>資料提醒｜IMPORTANT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【數據結構與屬性分析警語】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職場 KPI 與課堂實作之本質差異：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課堂實作總分由 33/60（55.00%）提升至 48/60（80.00%），增長 25 個百分點，此為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層次二（學習成果）之課堂演練示範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，僅能證明學員具備知識吸收能力，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絕非日常工作之績效指標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多元案例並存：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本樣本集完整保留改善（4案）、下滑（1案：S-EMP-03）與持平（1案：S-EMP-06），展示合成案例中不同方向的變化；資料來源未提供抽樣方法，因此不宣稱真實營運型態或抽樣完整性。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sz w:val="30"/>
        </w:rPr>
        <w:t>肆、S-EMP-01 完整計算示範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一、示例中可用的已知欄位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S-EMP-01 是虛構代碼，角色為 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SAMPLE_ROLE_COURSE_ADMIN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。資料只標示能力落差為「資料欄位／程序核對能力缺口」，工作任務為「報名資料首次核對正確率」，課程代碼為 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S-COURSE-01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。課程實際名稱、教材、時數、出席及學員身分均沒有 REAL 原件，不能補寫成已發生的事實。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二、工作 KPI 逐式重算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訓前 SAMPLE 期間為 2026-03-16 至 2026-04-14，首次核對正確 14 件、納入 20 件：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訓前比率 = 14 ÷ 20 × 100% = 70.00%。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訓後 SAMPLE 期間為 2026-05-16 至 2026-06-14，首次核對正確 18 件、納入 20 件：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訓後比率 = 18 ÷ 20 × 100% = 90.00%。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前後百分點差 = 90.00% − 70.00% = +20.00 個百分點。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這是合成資料中的描述性變化；沒有逐件 REAL 日誌，因此不能說真實工作績效已改善。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三、學習示範與工作成果分開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本案技能示範分數由 4/10 到 8/10，表示 SAMPLE 練習分數增加 4 分。該分數不是職場 KPI，也沒有提供題本、評分規準或正式測驗紀錄。示範工作 KPI 的變化是另一個資料欄位；兩者同時變化也不能證明因果。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四、解讀及建議後續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此示例只能說：在設定的合成數據中，工作指標由 70.00% 變成 90.00%。實際任務難度、工作量、流程版本、同期訓練、觀察者及原始紀錄均未查證。取得 REAL 原件前，應將結論維持 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SAMPLE_ONLY / REAL=UNKNOWN_UNTIL_SOURCE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。若實際資料也出現下降或缺漏，再由有權責者按第捌節流程判讀；本範例沒有記錄任何主管晤談、輔導或核定決議。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sz w:val="30"/>
        </w:rPr>
        <w:t>伍、個人訓練到工作成果的佐證鏈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每個節點都要連到可授權查閱的實際紀錄。下表只說明應蒐集的資料種類；除合成 CSV 中的數字外，沒有任何一項 REAL 原件在本範例中可供查證。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佐證節點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需要核對的內容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本範例狀態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需求與能力落差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工作任務、能力差距及訓練需求的核定紀錄。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只有 SAMPLE 情境文字；REAL=UNKNOWN。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課程與參訓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課程計畫、實際課程日期、出席與完成紀錄。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代碼及示例日期不等於實際課程或出席證據；REAL=UNKNOWN。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學習評量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題本、評分規準、原始答題或實作結果。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只有合成分數；原始評量件不存在於本範例。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訓前工作資料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指標定義、期間、分母、逐件工作樣本及來源系統。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僅有合成分子分母；</w:t>
            </w: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SAMPLE/SYS-LOG-*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不是實際日誌。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訓後工作資料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同口徑期間、逐件結果、資料來源及排除清冊。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僅有合成分子分母；REAL=UNKNOWN。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覆核與觀察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覆核者被授權的角色、核對方法及可追溯紀錄。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SAMPLE_ONLY_NO_REAL_OBSERVER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；沒有主管觀察或簽核。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限制及結論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可比性、混雜因素、資料完整性及後續處理。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假設不得當作查證結果；REAL=UNKNOWN。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隱私及存取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處理依據、去識別化方式、代碼對照表的權限與保存期限。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僅為操作要求；沒有實際授權或存取紀錄。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取得原件後，正文只記必要的去識別化摘要、資料期間、版本和受權核實角色；身分對照表另置於有權限的位置，不放入公開候選。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sz w:val="30"/>
        </w:rPr>
        <w:t>陸、訓後 30、60、90 日追蹤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下列日期由 SAMPLE 課程日期 2026-04-15 推算，只示範如何排程；不是實際課程或追蹤紀錄。所有實際結果仍為 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UNKNOWN / NOT COLLECTED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cantSplit/>
          <w:tblHeader w:val="true"/>
        </w:trPr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節點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SAMPLE 示範到期日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實際要收集的內容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判讀方式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REAL 狀態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T+30 日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2026-05-15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確認是否有工作應用樣本、流程障礙或需要的支持。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按事前核定的觀察方式記錄，不以單次訪談取代工作資料。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 / NOT COLLECTED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T+60 日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2026-06-14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在可比任務上收集訓後工作 KPI 和來源定位。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按相同指標定義重算；缺來源或口徑改變則 HOLD。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 / NOT COLLECTED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T+90 日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2026-07-14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檢查工作運用是否持續、是否有新干擾因素及後續需求。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記錄實際證據、限制、責任角色與下一期限。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 / NOT COLLECTED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本示例沒有提供任何 30／60／90 日觀察值，也沒有協會核定的目標值。實際目標、樣本充分性及介入方式應由有權責者在資料收集前核定；不能以本表日期或合成結果替代核准。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sz w:val="30"/>
        </w:rPr>
        <w:t>柒、資料品質與混雜因素檢查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在比較前後數據時逐項檢查。只要有重大差異未能排除或說明，就暫緩把變化解讀成可比較結果。以下檢查方法是操作建議；本範例沒有實際查核紀錄。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cantSplit/>
          <w:tblHeader w:val="true"/>
        </w:trPr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檢查項目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為何會影響比較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實際查核及處理方法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本範例查證狀態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任務及案件難度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後測較簡單可能抬高正確率；較困難則可能壓低。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對照任務類型與複雜度；差異不能校正時 HOLD。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UNKNOWN_UNTIL_SOURCE；同質性只是 SAMPLE 假設。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工作量與人力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工作量、排班或協作改變會影響個人結果。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取得期間工作量與協助紀錄，分清個人與共同作業。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UNKNOWN_UNTIL_SOURCE。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系統、表單及程序版本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防呆或欄位變更可能造成表面改善。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查版本及變更日期；有變更時分層比較或另建基線。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UNKNOWN_UNTIL_SOURCE；沒有已查證版本。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旺淡季與案件組成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不同時段工作結構可能不同。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對照期間及案件組成，說明是否可比。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UNKNOWN_UNTIL_SOURCE。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同期訓練或其他支持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其他介入可能同時影響結果。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查訓練及支持紀錄，不以未詢問代替證據。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UNKNOWN_UNTIL_SOURCE。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抽樣偏差及遺漏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選件方式或遺漏可能改變分子分母。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保存事前抽樣規則、抽樣框、排除筆數及缺漏原因。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UNKNOWN_UNTIL_SOURCE；方法未提供。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指標判準漂移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前後對「正確」的定義不同，比例不可直接相比。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使用同一版判準；如有修訂，逐項說明並重新計算。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UNKNOWN_UNTIL_SOURCE。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覆核者偏差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覆核者知道受訓狀態可能影響判斷。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依權責安排覆核並保留角色、日期、判準及核實紀錄。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UNKNOWN_UNTIL_SOURCE；本例無 REAL observer。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日誌完整性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缺漏或重複紀錄會改變分母。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與來源系統總量勾稽，保存差異及更正軌跡。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UNKNOWN_UNTIL_SOURCE。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個資與授權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不當識別或分享會造成隱私風險。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確認處理依據、最小揭露、保存期限及存取權限。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UNKNOWN_UNTIL_SOURCE。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sz w:val="30"/>
        </w:rPr>
        <w:t>捌、判讀流程與 HOLD／REJECT 條件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一、先檢查資料，再描述變化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來源與授權。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訓前、訓後資料及工作者身分須能由合法來源核對。缺原件、授權或去識別化依據時，標 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HOLD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，不得以 SAMPLE 取代 REAL。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口徑與期間。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確認任務、KPI 定義、分子、分母及期間一致。無法比較或排除重大變更時，先 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HOLD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，不能直接解讀增減。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重算。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對照逐件來源重算分子、分母、比率和百分點差。數字不一致時停止使用該結論，修正資料或計算後再核對。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描述方向。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資料可比時，百分點差大於零記為「觀察到上升」、等於零記為「觀察到持平」、小於零記為「觀察到下降」。這些是描述性分類，不代表統計顯著、官方及格、或因訓練造成。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套用事前標準。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若機構需要判斷是否達到內部目標，必須使用資料收集前由有權責者核定的目標及樣本充分性方法，記下來源與日期。本範例沒有這類核定，不設定固定百分比或筆數門檻。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二、後續處理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結果狀態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判定原則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建議下一步（須依實際權責核定）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觀察到上升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同口徑資料重算後，訓後比率高於訓前。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查混雜因素並描述限制；不把全部變化歸因於訓練。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觀察到持平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同口徑資料重算後，前後相同；若有事前容忍區間，按核定規則判斷。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查是否有維持能力、工作環境障礙或指標敏感度問題。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觀察到下降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同口徑資料重算後，訓後比率低於訓前。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保留負向個案，核對原件及任務難度，再由有權角色決定支持措施。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證據不足／HOLD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缺一方原件、身分或授權不明、口徑/期間不同、樣本不足以回答事前問題、追蹤未到或未收集，或重大混雜因素未釐清。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列出缺項、責任角色和可補正日期；補證前不下 REAL 成效結論。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REJECT 資料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發現偽造原件/簽章、把 SAMPLE 冒充 REAL、隱藏指標定義改變、算式無法重現，或刪去負向個案。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隔離有問題的證據、保留更正軌跡；不得用該資料作正式佐證。REJECT 指資料，不是對人員下人事判決。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本表沒有設定「顯著改善」或統計檢定結論；未提供抽樣設計與統計假設，故不宣稱統計顯著性。樣例中的 S-EMP-03 下降 5 個百分點、S-EMP-06 持平，都必須留在比較表中。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sz w:val="30"/>
        </w:rPr>
        <w:t>玖、REAL 實際資料替換表單</w:t>
      </w:r>
    </w:p>
    <w:p>
      <w:pPr>
        <w:spacing w:before="60" w:after="60"/>
        <w:ind w:left="202"/>
        <w:shd w:fill="EAF2F8"/>
      </w:pPr>
      <w:r>
        <w:rPr>
          <w:rFonts w:ascii="Microsoft JhengHei" w:hAnsi="Microsoft JhengHei" w:eastAsia="Microsoft JhengHei" w:cs="Microsoft JhengHei"/>
          <w:b/>
          <w:i w:val="0"/>
          <w:color w:val="194169"/>
          <w:sz w:val="21"/>
        </w:rPr>
        <w:t>資料提醒｜IMPORTANT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【正式營運替換表單填寫指引】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以下區塊為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供機構導入時實際填寫之空白表單（REAL FORM）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。使用時請將所有欄位依真實業務數據填入。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資安要求：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「受訓人員代碼對照清冊」為極機密資料，必須由訓練/人事專責人員個別封裝存檔，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不得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附加於送交外審或陳閱之本表後方。</w:t>
      </w:r>
    </w:p>
    <w:p>
      <w:pPr>
        <w:spacing w:after="100"/>
        <w:ind w:left="317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====================================================================================================</w:t>
        <w:br/>
        <w:t xml:space="preserve">               【機構名稱】個人訓後績效改善個案分析表（正式運作紀錄）</w:t>
        <w:br/>
        <w:t>====================================================================================================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一、基本作業資訊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主辦部門：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＿＿＿＿＿＿＿＿＿＿＿＿＿＿＿　　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文件編號：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＿＿＿＿＿＿＿＿＿＿＿＿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填表人員：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＿＿＿＿＿＿＿＿＿＿＿＿＿＿＿　　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填表日期：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年　　月　　日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對應課程：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＿＿＿＿＿＿＿＿＿＿＿＿＿＿＿　　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培訓日期：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年　　月　　日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職能缺口項目：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＿＿＿＿＿＿＿＿＿＿＿＿＿＿＿＿＿＿＿＿＿＿＿＿＿＿＿＿＿＿＿＿＿＿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工作評估任務：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＿＿＿＿＿＿＿＿＿＿＿＿＿＿＿＿＿＿＿＿＿＿＿＿＿＿＿＿＿＿＿＿＿＿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考核指標名稱：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＿＿＿＿＿＿＿＿＿＿＿＿＿＿＿（單位：＿＿＿＿＿，分子：＿＿＿，分母：＿＿＿）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事前核定的內部目標（如適用）：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＿＿＿＿＿＿＿＿＿＿＿＿（核定角色／日期／依據：＿＿＿＿＿＿＿＿）本欄不是官方通用門檻。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二、個人訓前後工作資料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下表僅供取得授權後記錄 REAL 資料；目前每格均未填，不能當成已完成的訓後成果。若實際個案數不同，可依同一欄位定義增刪列，並保留版本紀錄。</w:t>
      </w:r>
    </w:p>
    <w:p>
      <w:pPr>
        <w:sectPr>
          <w:pgSz w:w="11909" w:h="16834"/>
          <w:pgMar w:top="936" w:right="979" w:bottom="936" w:left="979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rPr>
          <w:cantSplit/>
          <w:tblHeader w:val="true"/>
        </w:trPr>
        <w:tc>
          <w:tcPr>
            <w:tcW w:type="dxa" w:w="80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序號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受訓者代碼</w:t>
            </w: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訓前期間</w:t>
            </w: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訓前正確件／納入件</w:t>
            </w: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訓後期間</w:t>
            </w: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訓後正確件／納入件</w:t>
            </w:r>
          </w:p>
        </w:tc>
        <w:tc>
          <w:tcPr>
            <w:tcW w:type="dxa" w:w="152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百分點差</w:t>
            </w:r>
          </w:p>
        </w:tc>
        <w:tc>
          <w:tcPr>
            <w:tcW w:type="dxa" w:w="21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REAL 來源定位</w:t>
            </w:r>
          </w:p>
        </w:tc>
      </w:tr>
      <w:tr>
        <w:trPr>
          <w:cantSplit/>
        </w:trPr>
        <w:tc>
          <w:tcPr>
            <w:tcW w:type="dxa" w:w="80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52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1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80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52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1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80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52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1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80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52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1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80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52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1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80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52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1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</w:tr>
    </w:tbl>
    <w:p>
      <w:pPr>
        <w:spacing w:after="20"/>
      </w:pPr>
    </w:p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三、技能示範評量（與職場 KPI 分開）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cantSplit/>
          <w:tblHeader w:val="true"/>
        </w:trPr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序號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受訓者代碼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訓前得分／滿分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訓後得分／滿分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題本、評分規準及原件定位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填寫前先確認測驗題本及評分規準版本一致；本表的學習分數不可代替工作 KPI。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三、干擾變數排除審核簽核表（逐案勾稽）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前後期抽樣案件之複雜度與業務規格是否嚴格對等？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□ 是　□ 否，處置說明：＿＿＿＿＿＿＿＿＿＿＿＿＿＿＿＿＿＿＿＿＿＿＿＿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抽樣期間系統工具、SOP、表單版本是否完全無重大異動？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□ 是　□ 否，版本差異說明：＿＿＿＿＿＿＿＿＿＿＿＿＿＿＿＿＿＿＿＿＿＿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抽樣案件是否已完全剔除主管協同審查及他人代簽案件？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□ 是　□ 否，剔除件數說明：＿＿＿＿＿＿＿＿＿＿＿＿＿＿＿＿＿＿＿＿＿＿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是否存在其他可能干擾成效之重大環境變數（如業務整併、組織重組）？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□ 無　□ 有，影響評估：＿＿＿＿＿＿＿＿＿＿＿＿＿＿＿＿＿＿＿＿＿＿＿＿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四、審核決策與核決簽章欄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個案綜合分析結論：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□ 判定整體成效良好（通過轉移驗證）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□ 判定部分持平或下滑（啟動下方後續改善措施）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□ 數據受重大干擾，判定為暫緩/無效（HOLD / REJECT），需重新抽樣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異常個案輔導處置計畫（若有）：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＿＿＿＿＿＿＿＿＿＿＿＿＿＿＿＿＿＿＿＿＿＿＿＿＿＿＿＿＿＿＿＿＿＿＿＿＿＿＿＿＿＿＿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＿＿＿＿＿＿＿＿＿＿＿＿＿＿＿＿＿＿＿＿＿＿＿＿＿＿＿＿＿＿＿＿＿＿＿＿＿＿＿＿＿＿＿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評估填表人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業務主管覆核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訓練專責主管核定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簽名/日期：＿＿＿＿＿＿＿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簽名/日期：＿＿＿＿＿＿＿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簽名/日期：＿＿＿＿＿＿＿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sz w:val="30"/>
        </w:rPr>
        <w:t>拾、真實資料替換清單（RR-01 至 RR-12）</w:t>
      </w:r>
    </w:p>
    <w:p>
      <w:pPr>
        <w:spacing w:before="60" w:after="60"/>
        <w:ind w:left="202"/>
        <w:shd w:fill="EAF2F8"/>
      </w:pPr>
      <w:r>
        <w:rPr>
          <w:rFonts w:ascii="Microsoft JhengHei" w:hAnsi="Microsoft JhengHei" w:eastAsia="Microsoft JhengHei" w:cs="Microsoft JhengHei"/>
          <w:b/>
          <w:i w:val="0"/>
          <w:color w:val="194169"/>
          <w:sz w:val="21"/>
        </w:rPr>
        <w:t>資料提醒｜NOTE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機構在將本範本轉換為正式評核佐證前，必須依序查核下列 12 項查驗點（Replacement Requirements, RR）。目前在未介接機構真實營運系統與授權前，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所有真實項目之狀態均客觀列為 `UNKNOWN_UNTIL_SOURCE`（待正式來源提供前均為未知）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sectPr>
          <w:pgSz w:w="11909" w:h="16834"/>
          <w:pgMar w:top="936" w:right="979" w:bottom="936" w:left="979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cantSplit/>
          <w:tblHeader w:val="true"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檢核編號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查核要項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建議取得的真實資料來源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填表前需確認的內容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當前狀態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RR-01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課程與職能需求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年度訓練計畫書、職能缺口訪談表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載明能連結到具體工作任務與能力落差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RR-02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人員身分與個資授權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受訓學員個資授權同意書、身分代碼表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確認授權與代碼表分離保管的實際紀錄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RR-03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參訓出席與簽到紀錄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課堂實體/電子簽到退表、請假單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依實際課程及機構適用規範核對出席情形；本範例未提供紀錄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RR-04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訓前基線數據來源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業務系統原始初審日誌、抽樣清冊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可追溯期間、逐件資料及初審紀錄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RR-05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訓後成效數據來源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訓後冷卻期系統日誌、覆核報表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依事前核定的追蹤期間核對；本範例日期僅為 SAMPLE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RR-06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KPI 字典與門檻定義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內部指標核定簽呈、作業手冊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包含明確分子分母與權責主管簽章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RR-07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課堂實作評量卷宗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學員實作測驗紙本、線上測驗紀錄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保留給分規準與原始結果，區隔於滿意度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RR-08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職場實際工作樣卷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抽樣個案之實際表單、系統稽核截圖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案件說明可比性、抽樣方法及已知偏差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RR-09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觀察/覆核者身分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覆核主管派任紀錄、審查資格表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確認覆核者真實角色及其查核權限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RR-10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干擾變數查證紀錄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資訊系統變更紀錄、業務量統計表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記錄已查明的變數與未能排除的限制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RR-11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隱私保護隔離驗證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資安稽核軌跡、存取權限列表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檢查公開版本的資料最小化與識別風險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RR-12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結論簽核與追蹤計畫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正式簽核表單、T+90 天排程表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依機構核定的責任與授權流程辦理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</w:tbl>
    <w:p>
      <w:pPr>
        <w:spacing w:after="20"/>
      </w:pPr>
    </w:p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sz w:val="30"/>
        </w:rPr>
        <w:t>拾壹、治理聲明與限制邊界公告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為落實作業透明度與符合評核誠信原則，本文件特明訂以下限制與法律治理邊界：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無正式簽核效力聲明：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本文件全篇所載內容（包含第參節之數據、第肆節之計算、第陸節之期程）均為方法論展示之合成範本，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本文件目前未具備任何特定公協會或機構之真實主管簽章、正式印信或合法決策授權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無真實實體參與聲明：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本案所指涉之課程名稱、代碼、受訓學員代碼、系統日誌編號及主管覆核紀錄，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均非真實存在之實體紀錄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，亦無真實公協會會員或內部員工涉入。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因果推論限制：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績效改善受多重組織環境變數牽引（如工作氣氛、績效獎酬、個人生涯規劃等）。本方法論展示前後期數值比較技術，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嚴禁用於宣稱培訓為促成績效改變之唯一或排他性原因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外審採納條件：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本文件若欲作為 TTQS 評核之三階佐證文件，訓練管理人員必須依循第玖節之空白表單（REAL REPLACEMENT FORM），完整介接真實業務日誌，落實 RR-01 至 RR-12 檢核要點，並取得機構內部合法授權簽核後，方具備正式佐證效力。</w:t>
      </w:r>
    </w:p>
    <w:sectPr w:rsidR="00FC693F" w:rsidRPr="0006063C" w:rsidSect="00034616">
      <w:pgSz w:w="11909" w:h="16834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b w:val="0"/>
        <w:i w:val="0"/>
        <w:color w:val="46505C"/>
        <w:sz w:val="19"/>
      </w:rPr>
      <w:t>TTQS ONE 0128  |  SAMPLE / SYNTHETIC  |</w:t>
    </w:r>
    <w:r>
      <w:rPr>
        <w:rFonts w:ascii="Microsoft JhengHei" w:hAnsi="Microsoft JhengHei" w:eastAsia="Microsoft JhengHei" w:cs="Microsoft JhengHei"/>
        <w:color w:val="46505C"/>
        <w:sz w:val="19"/>
      </w:rPr>
    </w:r>
    <w:fldSimple w:instr="PAGE"/>
    <w:r>
      <w:rPr>
        <w:rFonts w:ascii="Microsoft JhengHei" w:hAnsi="Microsoft JhengHei" w:eastAsia="Microsoft JhengHei" w:cs="Microsoft JhengHei"/>
        <w:b w:val="0"/>
        <w:i w:val="0"/>
        <w:color w:val="46505C"/>
        <w:sz w:val="19"/>
      </w:rPr>
      <w:t>TTQS ONE 0128  |  SAMPLE / SYNTHETIC  |</w:t>
    </w:r>
    <w:r>
      <w:rPr>
        <w:rFonts w:ascii="Microsoft JhengHei" w:hAnsi="Microsoft JhengHei" w:eastAsia="Microsoft JhengHei" w:cs="Microsoft JhengHei"/>
        <w:color w:val="46505C"/>
        <w:sz w:val="19"/>
      </w:rPr>
    </w:r>
    <w:fldSimple w:instr="PAGE"/>
    <w:r>
      <w:rPr>
        <w:rFonts w:ascii="Microsoft JhengHei" w:hAnsi="Microsoft JhengHei" w:eastAsia="Microsoft JhengHei" w:cs="Microsoft JhengHei"/>
        <w:b w:val="0"/>
        <w:i w:val="0"/>
        <w:color w:val="46505C"/>
        <w:sz w:val="19"/>
      </w:rPr>
      <w:t>TTQS ONE 0128  |  SAMPLE / SYNTHETIC  |</w:t>
    </w:r>
    <w:r>
      <w:rPr>
        <w:rFonts w:ascii="Microsoft JhengHei" w:hAnsi="Microsoft JhengHei" w:eastAsia="Microsoft JhengHei" w:cs="Microsoft JhengHei"/>
        <w:color w:val="46505C"/>
        <w:sz w:val="19"/>
      </w:rPr>
    </w:r>
    <w:fldSimple w:instr="PAGE"/>
    <w:r>
      <w:rPr>
        <w:rFonts w:ascii="Microsoft JhengHei" w:hAnsi="Microsoft JhengHei" w:eastAsia="Microsoft JhengHei" w:cs="Microsoft JhengHei"/>
        <w:b w:val="0"/>
        <w:i w:val="0"/>
        <w:color w:val="46505C"/>
        <w:sz w:val="19"/>
      </w:rPr>
      <w:t>TTQS ONE 0128  |  SAMPLE / SYNTHETIC  |</w:t>
    </w:r>
    <w:r>
      <w:rPr>
        <w:rFonts w:ascii="Microsoft JhengHei" w:hAnsi="Microsoft JhengHei" w:eastAsia="Microsoft JhengHei" w:cs="Microsoft JhengHei"/>
        <w:color w:val="46505C"/>
        <w:sz w:val="19"/>
      </w:rPr>
    </w:r>
    <w:fldSimple w:instr="PAGE"/>
    <w:r>
      <w:rPr>
        <w:rFonts w:ascii="Microsoft JhengHei" w:hAnsi="Microsoft JhengHei" w:eastAsia="Microsoft JhengHei" w:cs="Microsoft JhengHei"/>
        <w:b w:val="0"/>
        <w:i w:val="0"/>
        <w:color w:val="46505C"/>
        <w:sz w:val="19"/>
      </w:rPr>
      <w:t>TTQS ONE 0128  |  SAMPLE / SYNTHETIC  |</w:t>
    </w:r>
    <w:r>
      <w:rPr>
        <w:rFonts w:ascii="Microsoft JhengHei" w:hAnsi="Microsoft JhengHei" w:eastAsia="Microsoft JhengHei" w:cs="Microsoft JhengHei"/>
        <w:color w:val="46505C"/>
        <w:sz w:val="19"/>
      </w:rPr>
    </w:r>
    <w:fldSimple w:instr="PAGE"/>
    <w:r>
      <w:rPr>
        <w:rFonts w:ascii="Microsoft JhengHei" w:hAnsi="Microsoft JhengHei" w:eastAsia="Microsoft JhengHei" w:cs="Microsoft JhengHei"/>
        <w:b w:val="0"/>
        <w:i w:val="0"/>
        <w:color w:val="46505C"/>
        <w:sz w:val="19"/>
      </w:rPr>
      <w:t>TTQS ONE 0128  |  SAMPLE / SYNTHETIC  |</w:t>
    </w:r>
    <w:r>
      <w:rPr>
        <w:rFonts w:ascii="Microsoft JhengHei" w:hAnsi="Microsoft JhengHei" w:eastAsia="Microsoft JhengHei" w:cs="Microsoft JhengHei"/>
        <w:color w:val="46505C"/>
        <w:sz w:val="19"/>
      </w:rPr>
    </w:r>
    <w:fldSimple w:instr="PAGE"/>
    <w:r>
      <w:rPr>
        <w:rFonts w:ascii="Microsoft JhengHei" w:hAnsi="Microsoft JhengHei" w:eastAsia="Microsoft JhengHei" w:cs="Microsoft JhengHei"/>
        <w:b w:val="0"/>
        <w:i w:val="0"/>
        <w:color w:val="46505C"/>
        <w:sz w:val="19"/>
      </w:rPr>
      <w:t>TTQS ONE 0128  |  SAMPLE / SYNTHETIC  |</w:t>
    </w:r>
    <w:r>
      <w:rPr>
        <w:rFonts w:ascii="Microsoft JhengHei" w:hAnsi="Microsoft JhengHei" w:eastAsia="Microsoft JhengHei" w:cs="Microsoft JhengHei"/>
        <w:color w:val="46505C"/>
        <w:sz w:val="19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92D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92D4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92D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2D46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個人訓後績效改善個案分析表</dc:title>
  <dc:subject>TTQS ONE 0128 I19-E17 SAMPLE/SYNTHETIC candidate</dc:subject>
  <dc:creator>TTQS ONE candidate document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