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val="0"/>
          <w:color w:val="000000"/>
          <w:sz w:val="42"/>
        </w:rPr>
        <w:t>會員人數及會費收入逐年變化分析報告</w:t>
      </w:r>
    </w:p>
    <w:p>
      <w:r>
        <w:rPr>
          <w:rFonts w:ascii="Microsoft JhengHei" w:hAnsi="Microsoft JhengHei" w:eastAsia="Microsoft JhengHei"/>
          <w:b w:val="0"/>
        </w:rPr>
        <w:t>文件編號：0134　｜　需求對應：I19-E23　｜　版本：R01 候選稿</w:t>
      </w:r>
    </w:p>
    <w:p>
      <w:r>
        <w:rPr>
          <w:rFonts w:ascii="Microsoft JhengHei" w:hAnsi="Microsoft JhengHei" w:eastAsia="Microsoft JhengHei"/>
          <w:b w:val="0"/>
        </w:rPr>
        <w:t>資料狀態：全篇 SAMPLE／SYNTHETIC 示範，不是原始點協會實績</w:t>
      </w:r>
    </w:p>
    <w:p>
      <w:r>
        <w:rPr>
          <w:rFonts w:ascii="Microsoft JhengHei" w:hAnsi="Microsoft JhengHei" w:eastAsia="Microsoft JhengHei"/>
          <w:b w:val="0"/>
        </w:rPr>
        <w:t>官方來源：訓練機構版 TTQS 官方查核佐證表，PDF 第 8 頁</w:t>
      </w:r>
    </w:p>
    <w:p>
      <w:r>
        <w:rPr>
          <w:rFonts w:ascii="Microsoft JhengHei" w:hAnsi="Microsoft JhengHei" w:eastAsia="Microsoft JhengHei"/>
          <w:b w:val="0"/>
        </w:rPr>
        <w:t>報告用途：供協會主管及承辦人檢查年度會員人數、會費資料是否可比較，並據此安排核帳、資料補正及管理追蹤。</w:t>
      </w:r>
    </w:p>
    <w:p>
      <w:pPr>
        <w:pStyle w:val="Heading1"/>
      </w:pPr>
      <w:r>
        <w:rPr>
          <w:rFonts w:ascii="Microsoft JhengHei" w:hAnsi="Microsoft JhengHei" w:eastAsia="Microsoft JhengHei"/>
          <w:b w:val="0"/>
        </w:rPr>
        <w:t>30 秒閱讀卡</w:t>
      </w:r>
    </w:p>
    <w:p>
      <w:r>
        <w:rPr>
          <w:rFonts w:ascii="Microsoft JhengHei" w:hAnsi="Microsoft JhengHei" w:eastAsia="Microsoft JhengHei"/>
          <w:b w:val="0"/>
        </w:rPr>
        <w:t>本報告示範如何以三個連續年度的期末有效會員人數與年度會費現金收付資料，分別計算增減率、核對分母、解釋欠繳及退款，並留下可追溯的複核步驟。示範數字中，會員人數由 42 人升至 48 人、再升至 54 人；示範會費淨收款由新臺幣 102,000 元升至 111,000 元、再升至 126,000 元。兩項示範趨勢均逐年增加，但所有數字與規則均為合成示範，不能證明協會實際表現，也不能作為正式評核證據。承辦人應以正式會員名冊、收款及退款憑證、帳簿與核准的會計口徑替換後，再由權責主管覆核。</w:t>
      </w:r>
    </w:p>
    <w:tbl>
      <w:tblPr>
        <w:tblStyle w:val="TableGrid"/>
        <w:tblW w:type="auto" w:w="0"/>
        <w:jc w:val="center"/>
        <w:tblLayout w:type="fixed"/>
        <w:tblLook w:firstColumn="1" w:firstRow="1" w:lastColumn="0" w:lastRow="0" w:noHBand="0" w:noVBand="1" w:val="04A0"/>
        <w:tblBorders>
          <w:top w:val="single" w:sz="4" w:space="0" w:color="B8C5CC"/>
          <w:left w:val="single" w:sz="4" w:space="0" w:color="B8C5CC"/>
          <w:bottom w:val="single" w:sz="4" w:space="0" w:color="B8C5CC"/>
          <w:right w:val="single" w:sz="4" w:space="0" w:color="B8C5CC"/>
          <w:insideH w:val="single" w:sz="4" w:space="0" w:color="B8C5CC"/>
          <w:insideV w:val="single" w:sz="4" w:space="0" w:color="B8C5CC"/>
        </w:tblBorders>
      </w:tblPr>
      <w:tblGrid>
        <w:gridCol w:w="2577"/>
        <w:gridCol w:w="2577"/>
        <w:gridCol w:w="2577"/>
        <w:gridCol w:w="2577"/>
      </w:tblGrid>
      <w:tr>
        <w:trPr>
          <w:cantSplit/>
          <w:tblHeader w:val="true"/>
        </w:trPr>
        <w:tc>
          <w:tcPr>
            <w:tcW w:type="dxa" w:w="2578"/>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誰使用</w:t>
            </w:r>
          </w:p>
        </w:tc>
        <w:tc>
          <w:tcPr>
            <w:tcW w:type="dxa" w:w="2578"/>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使用時點</w:t>
            </w:r>
          </w:p>
        </w:tc>
        <w:tc>
          <w:tcPr>
            <w:tcW w:type="dxa" w:w="2578"/>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讀完後要做的事</w:t>
            </w:r>
          </w:p>
        </w:tc>
        <w:tc>
          <w:tcPr>
            <w:tcW w:type="dxa" w:w="2578"/>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本件狀態</w:t>
            </w:r>
          </w:p>
        </w:tc>
      </w:tr>
      <w:tr>
        <w:trPr>
          <w:cantSplit/>
        </w:trPr>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秘書處會員資料承辦人、財務承辦人、權責主管及內部評核閱讀者</w:t>
            </w:r>
          </w:p>
        </w:tc>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每年度結帳後；年度趨勢檢討或資料送審前</w:t>
            </w:r>
          </w:p>
        </w:tc>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依第 7 節核對來源、依第 5.4 節重算、依第 10 節追蹤差異，並依第 11 及 13 節完成替換登錄與正式資料替換。</w:t>
            </w:r>
          </w:p>
        </w:tc>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SAMPLE／SYNTHETIC；尚無 REAL 原件；不得標為協會已核准或已達成</w:t>
            </w:r>
          </w:p>
        </w:tc>
      </w:tr>
    </w:tbl>
    <w:p>
      <w:pPr>
        <w:spacing w:after="40" w:before="0"/>
      </w:pPr>
    </w:p>
    <w:p>
      <w:pPr>
        <w:pStyle w:val="Heading1"/>
      </w:pPr>
      <w:r>
        <w:rPr>
          <w:rFonts w:ascii="Microsoft JhengHei" w:hAnsi="Microsoft JhengHei" w:eastAsia="Microsoft JhengHei"/>
          <w:b w:val="0"/>
        </w:rPr>
        <w:t>1 結論摘要與決策問題</w:t>
      </w:r>
    </w:p>
    <w:p>
      <w:r>
        <w:rPr>
          <w:rFonts w:ascii="Microsoft JhengHei" w:hAnsi="Microsoft JhengHei" w:eastAsia="Microsoft JhengHei"/>
          <w:b w:val="0"/>
        </w:rPr>
        <w:t>官方要求原文為「會員人數及會費收入均逐年增加。」本報告將它拆成兩個各自必須成立的檢查：第一，依同一會員資格規則計算的期末有效會員人數；第二，依同一會計或收付口徑計算的年度會費收入。兩項不可互相代替。參訓人次、課程班次、市場調查結果或顧客價值提升都不是這兩項指標的分子或分母。</w:t>
      </w:r>
    </w:p>
    <w:p>
      <w:r>
        <w:rPr>
          <w:rFonts w:ascii="Microsoft JhengHei" w:hAnsi="Microsoft JhengHei" w:eastAsia="Microsoft JhengHei"/>
          <w:b w:val="0"/>
        </w:rPr>
        <w:t>示範資料呈現 2023 至 2025 三年期末會員數 42、48、54 人，以及示範淨收款 102,000、111,000、126,000 元。2024 對 2023 與 2025 對 2024 的兩個年度變化率都大於零。這只回答「若資料真實且口徑一致，如何計算及解讀」；由於本件沒有取得原始點協會會員名冊、會費憑證、帳簿、退款紀錄或核准口徑，協會真實趨勢及官方要求是否達成一律為 UNKNOWN。</w:t>
      </w:r>
    </w:p>
    <w:p>
      <w:r>
        <w:rPr>
          <w:rFonts w:ascii="Microsoft JhengHei" w:hAnsi="Microsoft JhengHei" w:eastAsia="Microsoft JhengHei"/>
          <w:b w:val="0"/>
        </w:rPr>
        <w:t>本次示範使用現金收付淨額作為演算代理值，並在表格與結論中明確稱為「示範淨收款」，不把它冒稱為財務報表中的會費收入。正式替換時必須由協會財務權責人確認採用的會計科目、認列原則、收付期間、退款與折讓處理，且能與總帳及原始憑證調節一致。若未能確認，應停止出具收入增長結論，只呈現資料缺口與差異。</w:t>
      </w:r>
    </w:p>
    <w:tbl>
      <w:tblPr>
        <w:tblStyle w:val="TableGrid"/>
        <w:tblW w:type="auto" w:w="0"/>
        <w:jc w:val="center"/>
        <w:tblLayout w:type="fixed"/>
        <w:tblLook w:firstColumn="1" w:firstRow="1" w:lastColumn="0" w:lastRow="0" w:noHBand="0" w:noVBand="1" w:val="04A0"/>
        <w:tblBorders>
          <w:top w:val="single" w:sz="4" w:space="0" w:color="B8C5CC"/>
          <w:left w:val="single" w:sz="4" w:space="0" w:color="B8C5CC"/>
          <w:bottom w:val="single" w:sz="4" w:space="0" w:color="B8C5CC"/>
          <w:right w:val="single" w:sz="4" w:space="0" w:color="B8C5CC"/>
          <w:insideH w:val="single" w:sz="4" w:space="0" w:color="B8C5CC"/>
          <w:insideV w:val="single" w:sz="4" w:space="0" w:color="B8C5CC"/>
        </w:tblBorders>
      </w:tblPr>
      <w:tblGrid>
        <w:gridCol w:w="3437"/>
        <w:gridCol w:w="3437"/>
        <w:gridCol w:w="3437"/>
      </w:tblGrid>
      <w:tr>
        <w:trPr>
          <w:cantSplit/>
          <w:tblHeader w:val="true"/>
        </w:trPr>
        <w:tc>
          <w:tcPr>
            <w:tcW w:type="dxa" w:w="3437"/>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決策問題</w:t>
            </w:r>
          </w:p>
        </w:tc>
        <w:tc>
          <w:tcPr>
            <w:tcW w:type="dxa" w:w="3437"/>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本件可回答的內容</w:t>
            </w:r>
          </w:p>
        </w:tc>
        <w:tc>
          <w:tcPr>
            <w:tcW w:type="dxa" w:w="3437"/>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目前可下的結論</w:t>
            </w:r>
          </w:p>
        </w:tc>
      </w:tr>
      <w:tr>
        <w:trPr>
          <w:cantSplit/>
        </w:trPr>
        <w:tc>
          <w:tcPr>
            <w:tcW w:type="dxa" w:w="3437"/>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會員人數是否逐年增加？</w:t>
            </w:r>
          </w:p>
        </w:tc>
        <w:tc>
          <w:tcPr>
            <w:tcW w:type="dxa" w:w="3437"/>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合成例的期末有效會員人數、組成、加入及退出調節</w:t>
            </w:r>
          </w:p>
        </w:tc>
        <w:tc>
          <w:tcPr>
            <w:tcW w:type="dxa" w:w="3437"/>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合成例是；協會真實結果 UNKNOWN</w:t>
            </w:r>
          </w:p>
        </w:tc>
      </w:tr>
      <w:tr>
        <w:trPr>
          <w:cantSplit/>
        </w:trPr>
        <w:tc>
          <w:tcPr>
            <w:tcW w:type="dxa" w:w="3437"/>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會費收入是否逐年增加？</w:t>
            </w:r>
          </w:p>
        </w:tc>
        <w:tc>
          <w:tcPr>
            <w:tcW w:type="dxa" w:w="3437"/>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合成例的會費收款、退款、淨額與年度率</w:t>
            </w:r>
          </w:p>
        </w:tc>
        <w:tc>
          <w:tcPr>
            <w:tcW w:type="dxa" w:w="3437"/>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合成例的示範淨收款是；正式會費收入與協會真實結果 UNKNOWN</w:t>
            </w:r>
          </w:p>
        </w:tc>
      </w:tr>
      <w:tr>
        <w:trPr>
          <w:cantSplit/>
        </w:trPr>
        <w:tc>
          <w:tcPr>
            <w:tcW w:type="dxa" w:w="3437"/>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增加是否由訓練造成？</w:t>
            </w:r>
          </w:p>
        </w:tc>
        <w:tc>
          <w:tcPr>
            <w:tcW w:type="dxa" w:w="3437"/>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本件不設計因果估計，也沒有連結課程、會員決策或收入來源的資料</w:t>
            </w:r>
          </w:p>
        </w:tc>
        <w:tc>
          <w:tcPr>
            <w:tcW w:type="dxa" w:w="3437"/>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不能歸因於訓練或其他單一活動</w:t>
            </w:r>
          </w:p>
        </w:tc>
      </w:tr>
      <w:tr>
        <w:trPr>
          <w:cantSplit/>
        </w:trPr>
        <w:tc>
          <w:tcPr>
            <w:tcW w:type="dxa" w:w="3437"/>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可否作為正式送審證據？</w:t>
            </w:r>
          </w:p>
        </w:tc>
        <w:tc>
          <w:tcPr>
            <w:tcW w:type="dxa" w:w="3437"/>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尚無 REAL 原件、正式口徑確認及授權覆核</w:t>
            </w:r>
          </w:p>
        </w:tc>
        <w:tc>
          <w:tcPr>
            <w:tcW w:type="dxa" w:w="3437"/>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不可；僅是完整的 SAMPLE／SYNTHETIC 工作示範</w:t>
            </w:r>
          </w:p>
        </w:tc>
      </w:tr>
    </w:tbl>
    <w:p>
      <w:pPr>
        <w:spacing w:after="40" w:before="0"/>
      </w:pPr>
    </w:p>
    <w:p>
      <w:pPr>
        <w:pStyle w:val="Heading1"/>
      </w:pPr>
      <w:r>
        <w:rPr>
          <w:rFonts w:ascii="Microsoft JhengHei" w:hAnsi="Microsoft JhengHei" w:eastAsia="Microsoft JhengHei"/>
          <w:b w:val="0"/>
        </w:rPr>
        <w:t>2 官方要求 範圍與排除項目</w:t>
      </w:r>
    </w:p>
    <w:p>
      <w:pPr>
        <w:pStyle w:val="Heading2"/>
      </w:pPr>
      <w:r>
        <w:rPr>
          <w:rFonts w:ascii="Microsoft JhengHei" w:hAnsi="Microsoft JhengHei" w:eastAsia="Microsoft JhengHei"/>
          <w:b w:val="0"/>
        </w:rPr>
        <w:t>2 1 正式需求對照</w:t>
      </w:r>
    </w:p>
    <w:tbl>
      <w:tblPr>
        <w:tblStyle w:val="TableGrid"/>
        <w:tblW w:type="auto" w:w="0"/>
        <w:jc w:val="center"/>
        <w:tblLayout w:type="fixed"/>
        <w:tblLook w:firstColumn="1" w:firstRow="1" w:lastColumn="0" w:lastRow="0" w:noHBand="0" w:noVBand="1" w:val="04A0"/>
        <w:tblBorders>
          <w:top w:val="single" w:sz="4" w:space="0" w:color="B8C5CC"/>
          <w:left w:val="single" w:sz="4" w:space="0" w:color="B8C5CC"/>
          <w:bottom w:val="single" w:sz="4" w:space="0" w:color="B8C5CC"/>
          <w:right w:val="single" w:sz="4" w:space="0" w:color="B8C5CC"/>
          <w:insideH w:val="single" w:sz="4" w:space="0" w:color="B8C5CC"/>
          <w:insideV w:val="single" w:sz="4" w:space="0" w:color="B8C5CC"/>
        </w:tblBorders>
      </w:tblPr>
      <w:tblGrid>
        <w:gridCol w:w="5155"/>
        <w:gridCol w:w="5155"/>
      </w:tblGrid>
      <w:tr>
        <w:trPr>
          <w:cantSplit/>
          <w:tblHeader w:val="true"/>
        </w:trPr>
        <w:tc>
          <w:tcPr>
            <w:tcW w:type="dxa" w:w="5155"/>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欄位</w:t>
            </w:r>
          </w:p>
        </w:tc>
        <w:tc>
          <w:tcPr>
            <w:tcW w:type="dxa" w:w="5155"/>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對照內容</w:t>
            </w:r>
          </w:p>
        </w:tc>
      </w:tr>
      <w:tr>
        <w:trPr>
          <w:cantSplit/>
        </w:trPr>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實際 DOCX 編號</w:t>
            </w:r>
          </w:p>
        </w:tc>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0134</w:t>
            </w:r>
          </w:p>
        </w:tc>
      </w:tr>
      <w:tr>
        <w:trPr>
          <w:cantSplit/>
        </w:trPr>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142 份文件序列需求 ID</w:t>
            </w:r>
          </w:p>
        </w:tc>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I19-E23</w:t>
            </w:r>
          </w:p>
        </w:tc>
      </w:tr>
      <w:tr>
        <w:trPr>
          <w:cantSplit/>
        </w:trPr>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157 項需求摘要索引</w:t>
            </w:r>
          </w:p>
        </w:tc>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index 147「會員／會費：實際帳冊與敏感資料隔離」；該索引不等同文件序號</w:t>
            </w:r>
          </w:p>
        </w:tc>
      </w:tr>
      <w:tr>
        <w:trPr>
          <w:cantSplit/>
        </w:trPr>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印刷版官方 checkbox 流水號</w:t>
            </w:r>
          </w:p>
        </w:tc>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UNKNOWN；不可由 0134、I19-E23 或 index 147 推算</w:t>
            </w:r>
          </w:p>
        </w:tc>
      </w:tr>
      <w:tr>
        <w:trPr>
          <w:cantSplit/>
        </w:trPr>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官方查核佐證表原文</w:t>
            </w:r>
          </w:p>
        </w:tc>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會員人數及會費收入均逐年增加。</w:t>
            </w:r>
          </w:p>
        </w:tc>
      </w:tr>
      <w:tr>
        <w:trPr>
          <w:cantSplit/>
        </w:trPr>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官方原件定位</w:t>
            </w:r>
          </w:p>
        </w:tc>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官方來源 PDF 第 8 頁；來源包包含整份 PDF 與第 8 頁擷取件</w:t>
            </w:r>
          </w:p>
        </w:tc>
      </w:tr>
      <w:tr>
        <w:trPr>
          <w:cantSplit/>
        </w:trPr>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本報告直接證據位置</w:t>
            </w:r>
          </w:p>
        </w:tc>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5.1 節會員序列、第 5.3 節收款調節、第 5.4 節公式及第 6、12 節對照</w:t>
            </w:r>
          </w:p>
        </w:tc>
      </w:tr>
      <w:tr>
        <w:trPr>
          <w:cantSplit/>
        </w:trPr>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目前官方符合判定</w:t>
            </w:r>
          </w:p>
        </w:tc>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UNKNOWN；合成例的正向趨勢不構成協會實績或正式符合判定</w:t>
            </w:r>
          </w:p>
        </w:tc>
      </w:tr>
    </w:tbl>
    <w:p>
      <w:pPr>
        <w:spacing w:after="40" w:before="0"/>
      </w:pPr>
    </w:p>
    <w:p>
      <w:pPr>
        <w:pStyle w:val="Heading2"/>
      </w:pPr>
      <w:r>
        <w:rPr>
          <w:rFonts w:ascii="Microsoft JhengHei" w:hAnsi="Microsoft JhengHei" w:eastAsia="Microsoft JhengHei"/>
          <w:b w:val="0"/>
        </w:rPr>
        <w:t>2 2 本報告範圍</w:t>
      </w:r>
    </w:p>
    <w:p>
      <w:r>
        <w:rPr>
          <w:rFonts w:ascii="Microsoft JhengHei" w:hAnsi="Microsoft JhengHei" w:eastAsia="Microsoft JhengHei"/>
          <w:b w:val="0"/>
        </w:rPr>
        <w:t>本件只處理會員人數與會費收入／收付資料的年度可比較性、調節、計算、分析限制及管理決策。期末會員人數的單位是依正式資格規則去重後的會員，不是會員人次、參訓人次或課程班次。收入部分必須採協會核准且逐年一致的會計口徑；本示範另以「收款減退款」展示一種可以核對的現金口徑，但不認定它等於正式認列收入。</w:t>
      </w:r>
    </w:p>
    <w:p>
      <w:pPr>
        <w:pStyle w:val="Heading2"/>
      </w:pPr>
      <w:r>
        <w:rPr>
          <w:rFonts w:ascii="Microsoft JhengHei" w:hAnsi="Microsoft JhengHei" w:eastAsia="Microsoft JhengHei"/>
          <w:b w:val="0"/>
        </w:rPr>
        <w:t>2 3 明確排除的相鄰需求</w:t>
      </w:r>
    </w:p>
    <w:tbl>
      <w:tblPr>
        <w:tblStyle w:val="TableGrid"/>
        <w:tblW w:type="auto" w:w="0"/>
        <w:jc w:val="center"/>
        <w:tblLayout w:type="fixed"/>
        <w:tblLook w:firstColumn="1" w:firstRow="1" w:lastColumn="0" w:lastRow="0" w:noHBand="0" w:noVBand="1" w:val="04A0"/>
        <w:tblBorders>
          <w:top w:val="single" w:sz="4" w:space="0" w:color="B8C5CC"/>
          <w:left w:val="single" w:sz="4" w:space="0" w:color="B8C5CC"/>
          <w:bottom w:val="single" w:sz="4" w:space="0" w:color="B8C5CC"/>
          <w:right w:val="single" w:sz="4" w:space="0" w:color="B8C5CC"/>
          <w:insideH w:val="single" w:sz="4" w:space="0" w:color="B8C5CC"/>
          <w:insideV w:val="single" w:sz="4" w:space="0" w:color="B8C5CC"/>
        </w:tblBorders>
      </w:tblPr>
      <w:tblGrid>
        <w:gridCol w:w="3437"/>
        <w:gridCol w:w="3437"/>
        <w:gridCol w:w="3437"/>
      </w:tblGrid>
      <w:tr>
        <w:trPr>
          <w:cantSplit/>
          <w:tblHeader w:val="true"/>
        </w:trPr>
        <w:tc>
          <w:tcPr>
            <w:tcW w:type="dxa" w:w="3437"/>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文件／需求</w:t>
            </w:r>
          </w:p>
        </w:tc>
        <w:tc>
          <w:tcPr>
            <w:tcW w:type="dxa" w:w="3437"/>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它要回答的問題</w:t>
            </w:r>
          </w:p>
        </w:tc>
        <w:tc>
          <w:tcPr>
            <w:tcW w:type="dxa" w:w="3437"/>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0134 不得代替它的欄位或證據</w:t>
            </w:r>
          </w:p>
        </w:tc>
      </w:tr>
      <w:tr>
        <w:trPr>
          <w:cantSplit/>
        </w:trPr>
        <w:tc>
          <w:tcPr>
            <w:tcW w:type="dxa" w:w="3437"/>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0133／I19-E22 年度訓練班次與參訓人次趨勢</w:t>
            </w:r>
          </w:p>
        </w:tc>
        <w:tc>
          <w:tcPr>
            <w:tcW w:type="dxa" w:w="3437"/>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開班數、參訓人次及訓練供給量如何變化</w:t>
            </w:r>
          </w:p>
        </w:tc>
        <w:tc>
          <w:tcPr>
            <w:tcW w:type="dxa" w:w="3437"/>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班次、人次、課程完成率不等於會員人數或會費收入；不可把 0133 的 317 參訓人次放入本件會員數</w:t>
            </w:r>
          </w:p>
        </w:tc>
      </w:tr>
      <w:tr>
        <w:trPr>
          <w:cantSplit/>
        </w:trPr>
        <w:tc>
          <w:tcPr>
            <w:tcW w:type="dxa" w:w="3437"/>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0135／I19-E25 目標市場與顧客價值具體提升成效</w:t>
            </w:r>
          </w:p>
        </w:tc>
        <w:tc>
          <w:tcPr>
            <w:tcW w:type="dxa" w:w="3437"/>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目標市場、客戶價值或服務成果如何改善</w:t>
            </w:r>
          </w:p>
        </w:tc>
        <w:tc>
          <w:tcPr>
            <w:tcW w:type="dxa" w:w="3437"/>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市場需求、顧客效益或訓練成效不等於會員年末存量或會費收入；本件不宣稱其因果效果</w:t>
            </w:r>
          </w:p>
        </w:tc>
      </w:tr>
    </w:tbl>
    <w:p>
      <w:pPr>
        <w:spacing w:after="40" w:before="0"/>
      </w:pPr>
    </w:p>
    <w:p>
      <w:pPr>
        <w:pStyle w:val="Heading1"/>
      </w:pPr>
      <w:r>
        <w:rPr>
          <w:rFonts w:ascii="Microsoft JhengHei" w:hAnsi="Microsoft JhengHei" w:eastAsia="Microsoft JhengHei"/>
          <w:b w:val="0"/>
        </w:rPr>
        <w:t>3 指標定義與可比較口徑</w:t>
      </w:r>
    </w:p>
    <w:p>
      <w:r>
        <w:rPr>
          <w:rFonts w:ascii="Microsoft JhengHei" w:hAnsi="Microsoft JhengHei" w:eastAsia="Microsoft JhengHei"/>
          <w:b w:val="0"/>
        </w:rPr>
        <w:t>在替換為 REAL 資料前，承辦人須將以下示範定義與協會章程、會員辦法、會計政策及總帳科目逐項比對。若實際規則不同，先記錄核准來源和適用期間，再重新計算全部年度；不可只修某一年以配合正向結果。</w:t>
      </w:r>
    </w:p>
    <w:tbl>
      <w:tblPr>
        <w:tblStyle w:val="TableGrid"/>
        <w:tblW w:type="auto" w:w="0"/>
        <w:jc w:val="center"/>
        <w:tblLayout w:type="fixed"/>
        <w:tblLook w:firstColumn="1" w:firstRow="1" w:lastColumn="0" w:lastRow="0" w:noHBand="0" w:noVBand="1" w:val="04A0"/>
        <w:tblBorders>
          <w:top w:val="single" w:sz="4" w:space="0" w:color="B8C5CC"/>
          <w:left w:val="single" w:sz="4" w:space="0" w:color="B8C5CC"/>
          <w:bottom w:val="single" w:sz="4" w:space="0" w:color="B8C5CC"/>
          <w:right w:val="single" w:sz="4" w:space="0" w:color="B8C5CC"/>
          <w:insideH w:val="single" w:sz="4" w:space="0" w:color="B8C5CC"/>
          <w:insideV w:val="single" w:sz="4" w:space="0" w:color="B8C5CC"/>
        </w:tblBorders>
      </w:tblPr>
      <w:tblGrid>
        <w:gridCol w:w="2577"/>
        <w:gridCol w:w="2577"/>
        <w:gridCol w:w="2577"/>
        <w:gridCol w:w="2577"/>
      </w:tblGrid>
      <w:tr>
        <w:trPr>
          <w:cantSplit/>
          <w:tblHeader w:val="true"/>
        </w:trPr>
        <w:tc>
          <w:tcPr>
            <w:tcW w:type="dxa" w:w="2578"/>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指標／欄位</w:t>
            </w:r>
          </w:p>
        </w:tc>
        <w:tc>
          <w:tcPr>
            <w:tcW w:type="dxa" w:w="2578"/>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本件示範定義</w:t>
            </w:r>
          </w:p>
        </w:tc>
        <w:tc>
          <w:tcPr>
            <w:tcW w:type="dxa" w:w="2578"/>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分母、期間與排除</w:t>
            </w:r>
          </w:p>
        </w:tc>
        <w:tc>
          <w:tcPr>
            <w:tcW w:type="dxa" w:w="2578"/>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REAL 替換時的核對來源</w:t>
            </w:r>
          </w:p>
        </w:tc>
      </w:tr>
      <w:tr>
        <w:trPr>
          <w:cantSplit/>
        </w:trPr>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期末有效會員人數</w:t>
            </w:r>
          </w:p>
        </w:tc>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每一年度 12 月 31 日當日，依有效會員資格規則仍具會員資格的唯一會員數</w:t>
            </w:r>
          </w:p>
        </w:tc>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每位會員只計一次；死亡、退會、資格終止或已生效停權者依正式規則處理；不得把眷屬、服務人次或會員次數加入</w:t>
            </w:r>
          </w:p>
        </w:tc>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核准會員辦法、去識別會員名冊、入會／退會／停權生效紀錄</w:t>
            </w:r>
          </w:p>
        </w:tc>
      </w:tr>
      <w:tr>
        <w:trPr>
          <w:cantSplit/>
        </w:trPr>
        <w:tc>
          <w:tcPr>
            <w:tcW w:type="dxa" w:w="257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年度變化</w:t>
            </w:r>
          </w:p>
        </w:tc>
        <w:tc>
          <w:tcPr>
            <w:tcW w:type="dxa" w:w="257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後一年度期末值減前一年度期末值</w:t>
            </w:r>
          </w:p>
        </w:tc>
        <w:tc>
          <w:tcPr>
            <w:tcW w:type="dxa" w:w="257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連續 12 個月、年度截止日一致；首年只有基準值，不計年增率</w:t>
            </w:r>
          </w:p>
        </w:tc>
        <w:tc>
          <w:tcPr>
            <w:tcW w:type="dxa" w:w="257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各年凍結名冊、名冊差異清單及資料擷取時間</w:t>
            </w:r>
          </w:p>
        </w:tc>
      </w:tr>
      <w:tr>
        <w:trPr>
          <w:cantSplit/>
        </w:trPr>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年會員人數年增率</w:t>
            </w:r>
          </w:p>
        </w:tc>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（本年 12 月 31 日有效會員數－前一年 12 月 31 日有效會員數）÷前一年 12 月 31 日有效會員數</w:t>
            </w:r>
          </w:p>
        </w:tc>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前一年分母為 0 時不計算百分比，標示 N/A 並報告絕對增減；不得除以 0 或自行改分母</w:t>
            </w:r>
          </w:p>
        </w:tc>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上述名冊及可重算的公式檔</w:t>
            </w:r>
          </w:p>
        </w:tc>
      </w:tr>
      <w:tr>
        <w:trPr>
          <w:cantSplit/>
        </w:trPr>
        <w:tc>
          <w:tcPr>
            <w:tcW w:type="dxa" w:w="257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年度會費收入</w:t>
            </w:r>
          </w:p>
        </w:tc>
        <w:tc>
          <w:tcPr>
            <w:tcW w:type="dxa" w:w="257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正式替換時，依權責主管確認之會計政策與總帳科目計算的會費收入</w:t>
            </w:r>
          </w:p>
        </w:tc>
        <w:tc>
          <w:tcPr>
            <w:tcW w:type="dxa" w:w="257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說明應計／現金基礎、年度歸屬、折讓退款、減免、欠費、預收及跨年度款；所有年度同口徑</w:t>
            </w:r>
          </w:p>
        </w:tc>
        <w:tc>
          <w:tcPr>
            <w:tcW w:type="dxa" w:w="257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核准會計政策、總帳明細、收款憑證、退款／折讓證明及結帳調節</w:t>
            </w:r>
          </w:p>
        </w:tc>
      </w:tr>
      <w:tr>
        <w:trPr>
          <w:cantSplit/>
        </w:trPr>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示範淨收款</w:t>
            </w:r>
          </w:p>
        </w:tc>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合成案例的當年會費收款總額減當年示範退款</w:t>
            </w:r>
          </w:p>
        </w:tc>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不等同認列收入；未收欠費不計入收款，免繳會員不產生現金收款；跨年度退款須由真實政策決定</w:t>
            </w:r>
          </w:p>
        </w:tc>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合成示例中只用於演算；REAL 使用時必須與財務核准口徑分欄呈現</w:t>
            </w:r>
          </w:p>
        </w:tc>
      </w:tr>
      <w:tr>
        <w:trPr>
          <w:cantSplit/>
        </w:trPr>
        <w:tc>
          <w:tcPr>
            <w:tcW w:type="dxa" w:w="257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會費年增率</w:t>
            </w:r>
          </w:p>
        </w:tc>
        <w:tc>
          <w:tcPr>
            <w:tcW w:type="dxa" w:w="257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（本年依核准口徑的會費值－前一年同口徑值）÷前一年同口徑值</w:t>
            </w:r>
          </w:p>
        </w:tc>
        <w:tc>
          <w:tcPr>
            <w:tcW w:type="dxa" w:w="257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前一年為 0 時標示 N/A；負數、退款或重分類須先調節並解釋；不得挑選對結論有利的口徑</w:t>
            </w:r>
          </w:p>
        </w:tc>
        <w:tc>
          <w:tcPr>
            <w:tcW w:type="dxa" w:w="257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同一科目映射、年度對帳表及主管覆核</w:t>
            </w:r>
          </w:p>
        </w:tc>
      </w:tr>
      <w:tr>
        <w:trPr>
          <w:cantSplit/>
        </w:trPr>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欠費會員</w:t>
            </w:r>
          </w:p>
        </w:tc>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會費義務存在但截至核准截止日尚未收款者</w:t>
            </w:r>
          </w:p>
        </w:tc>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不以欠費者從會員名冊刪除；會員資格和款項收取是不同狀態</w:t>
            </w:r>
          </w:p>
        </w:tc>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會員資格紀錄、應收明細、催收／減免／資格終止依據</w:t>
            </w:r>
          </w:p>
        </w:tc>
      </w:tr>
      <w:tr>
        <w:trPr>
          <w:cantSplit/>
        </w:trPr>
        <w:tc>
          <w:tcPr>
            <w:tcW w:type="dxa" w:w="257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免繳或減免</w:t>
            </w:r>
          </w:p>
        </w:tc>
        <w:tc>
          <w:tcPr>
            <w:tcW w:type="dxa" w:w="257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依正式制度取得核准且適用期明確的會費豁免或折減</w:t>
            </w:r>
          </w:p>
        </w:tc>
        <w:tc>
          <w:tcPr>
            <w:tcW w:type="dxa" w:w="257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本件「名譽／免繳」是合成分組，不能替代協會正式類別或核准；免繳是否仍是有效會員須看章程</w:t>
            </w:r>
          </w:p>
        </w:tc>
        <w:tc>
          <w:tcPr>
            <w:tcW w:type="dxa" w:w="257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正式會員辦法及逐案核准文件</w:t>
            </w:r>
          </w:p>
        </w:tc>
      </w:tr>
      <w:tr>
        <w:trPr>
          <w:cantSplit/>
        </w:trPr>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未回覆／缺漏資料</w:t>
            </w:r>
          </w:p>
        </w:tc>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無法連結或無法確認的紀錄</w:t>
            </w:r>
          </w:p>
        </w:tc>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不以 0 代替缺漏；先列差異數、可能影響方向及補件責任人</w:t>
            </w:r>
          </w:p>
        </w:tc>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欄位完整性檢核、例外清單及補件紀錄</w:t>
            </w:r>
          </w:p>
        </w:tc>
      </w:tr>
    </w:tbl>
    <w:p>
      <w:pPr>
        <w:spacing w:after="40" w:before="0"/>
      </w:pPr>
    </w:p>
    <w:p>
      <w:pPr>
        <w:pStyle w:val="Heading1"/>
      </w:pPr>
      <w:r>
        <w:rPr>
          <w:rFonts w:ascii="Microsoft JhengHei" w:hAnsi="Microsoft JhengHei" w:eastAsia="Microsoft JhengHei"/>
          <w:b w:val="0"/>
        </w:rPr>
        <w:t>4 資料來源 母體及品質等級</w:t>
      </w:r>
    </w:p>
    <w:p>
      <w:r>
        <w:rPr>
          <w:rFonts w:ascii="Microsoft JhengHei" w:hAnsi="Microsoft JhengHei" w:eastAsia="Microsoft JhengHei"/>
          <w:b w:val="0"/>
        </w:rPr>
        <w:t>本節列出正式作業所需來源及本件合成示範的限制。來源清單不是宣稱本協會已有該系統或文件。來源未提供前一律記為 UNKNOWN，不可在報告內補造檔名、檔案路徑、憑證號或查核者。</w:t>
      </w:r>
    </w:p>
    <w:tbl>
      <w:tblPr>
        <w:tblStyle w:val="TableGrid"/>
        <w:tblW w:type="auto" w:w="0"/>
        <w:jc w:val="center"/>
        <w:tblLayout w:type="fixed"/>
        <w:tblLook w:firstColumn="1" w:firstRow="1" w:lastColumn="0" w:lastRow="0" w:noHBand="0" w:noVBand="1" w:val="04A0"/>
        <w:tblBorders>
          <w:top w:val="single" w:sz="4" w:space="0" w:color="B8C5CC"/>
          <w:left w:val="single" w:sz="4" w:space="0" w:color="B8C5CC"/>
          <w:bottom w:val="single" w:sz="4" w:space="0" w:color="B8C5CC"/>
          <w:right w:val="single" w:sz="4" w:space="0" w:color="B8C5CC"/>
          <w:insideH w:val="single" w:sz="4" w:space="0" w:color="B8C5CC"/>
          <w:insideV w:val="single" w:sz="4" w:space="0" w:color="B8C5CC"/>
        </w:tblBorders>
      </w:tblPr>
      <w:tblGrid>
        <w:gridCol w:w="2062"/>
        <w:gridCol w:w="2062"/>
        <w:gridCol w:w="2062"/>
        <w:gridCol w:w="2062"/>
        <w:gridCol w:w="2062"/>
      </w:tblGrid>
      <w:tr>
        <w:trPr>
          <w:cantSplit/>
          <w:tblHeader w:val="true"/>
        </w:trPr>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資料集</w:t>
            </w:r>
          </w:p>
        </w:tc>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最小必要欄位</w:t>
            </w:r>
          </w:p>
        </w:tc>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母體／涵蓋期間</w:t>
            </w:r>
          </w:p>
        </w:tc>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交叉核對</w:t>
            </w:r>
          </w:p>
        </w:tc>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本件狀態</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會員資格名冊</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去識別會員鍵、會員類別、入會生效日、退會／資格終止生效日、年度末資格</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所有於年度末有效或期間內發生資格變動的會員</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入會／退出文件、理監事或權責核准（如制度要求）</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REAL 原件未提供；使用合成彙總值</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會費收款明細</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去識別會員鍵、收款日、年度歸屬、類別、金額、收款方式、沖銷狀態</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當年所有會費收款及跨年補收</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銀行／收據／現金簿、總帳、收款清冊</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REAL 原件未提供；合成值僅演算</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退款、折讓與減免明細</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關聯收款鍵、日期、金額、理由代碼、核准依據、沖帳年度</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當年所有退款折讓及會費減免</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原收款、核准記錄、銀行退匯或帳簿分錄</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REAL 原件未提供；示範退款不是實際退款</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總帳及會計口徑</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科目編碼、科目名稱、年度、借貸、重分類、期末調整、報表版本</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至少三個完整且可比較年度</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財務報表、結帳底稿、年度會計政策</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實際科目與認列方式 UNKNOWN</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會費制度與版本</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類別、標準、有效期間、欠費及豁免規則、核准程序</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涵蓋報告期間</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章程、會員辦法、會議或授權紀錄</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本件只作合成規則，不推定協會採用</w:t>
            </w:r>
          </w:p>
        </w:tc>
      </w:tr>
    </w:tbl>
    <w:p>
      <w:pPr>
        <w:spacing w:after="40" w:before="0"/>
      </w:pPr>
    </w:p>
    <w:p>
      <w:pPr>
        <w:pStyle w:val="Heading2"/>
      </w:pPr>
      <w:r>
        <w:rPr>
          <w:rFonts w:ascii="Microsoft JhengHei" w:hAnsi="Microsoft JhengHei" w:eastAsia="Microsoft JhengHei"/>
          <w:b w:val="0"/>
        </w:rPr>
        <w:t>4 1 資料品質分級</w:t>
      </w:r>
    </w:p>
    <w:tbl>
      <w:tblPr>
        <w:tblStyle w:val="TableGrid"/>
        <w:tblW w:type="auto" w:w="0"/>
        <w:jc w:val="center"/>
        <w:tblLayout w:type="fixed"/>
        <w:tblLook w:firstColumn="1" w:firstRow="1" w:lastColumn="0" w:lastRow="0" w:noHBand="0" w:noVBand="1" w:val="04A0"/>
        <w:tblBorders>
          <w:top w:val="single" w:sz="4" w:space="0" w:color="B8C5CC"/>
          <w:left w:val="single" w:sz="4" w:space="0" w:color="B8C5CC"/>
          <w:bottom w:val="single" w:sz="4" w:space="0" w:color="B8C5CC"/>
          <w:right w:val="single" w:sz="4" w:space="0" w:color="B8C5CC"/>
          <w:insideH w:val="single" w:sz="4" w:space="0" w:color="B8C5CC"/>
          <w:insideV w:val="single" w:sz="4" w:space="0" w:color="B8C5CC"/>
        </w:tblBorders>
      </w:tblPr>
      <w:tblGrid>
        <w:gridCol w:w="2577"/>
        <w:gridCol w:w="2577"/>
        <w:gridCol w:w="2577"/>
        <w:gridCol w:w="2577"/>
      </w:tblGrid>
      <w:tr>
        <w:trPr>
          <w:cantSplit/>
          <w:tblHeader w:val="true"/>
        </w:trPr>
        <w:tc>
          <w:tcPr>
            <w:tcW w:type="dxa" w:w="2578"/>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等級</w:t>
            </w:r>
          </w:p>
        </w:tc>
        <w:tc>
          <w:tcPr>
            <w:tcW w:type="dxa" w:w="2578"/>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判定條件</w:t>
            </w:r>
          </w:p>
        </w:tc>
        <w:tc>
          <w:tcPr>
            <w:tcW w:type="dxa" w:w="2578"/>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可以寫什麼</w:t>
            </w:r>
          </w:p>
        </w:tc>
        <w:tc>
          <w:tcPr>
            <w:tcW w:type="dxa" w:w="2578"/>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不可以寫什麼</w:t>
            </w:r>
          </w:p>
        </w:tc>
      </w:tr>
      <w:tr>
        <w:trPr>
          <w:cantSplit/>
        </w:trPr>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S0 示範</w:t>
            </w:r>
          </w:p>
        </w:tc>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數字為人工生成的 SAMPLE／SYNTHETIC</w:t>
            </w:r>
          </w:p>
        </w:tc>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「本合成案例顯示……」；說明公式、資料需求及限制</w:t>
            </w:r>
          </w:p>
        </w:tc>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不得稱為協會會員增加、會費收入增加、實際績效或正式符合</w:t>
            </w:r>
          </w:p>
        </w:tc>
      </w:tr>
      <w:tr>
        <w:trPr>
          <w:cantSplit/>
        </w:trPr>
        <w:tc>
          <w:tcPr>
            <w:tcW w:type="dxa" w:w="257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S1 原件已取得</w:t>
            </w:r>
          </w:p>
        </w:tc>
        <w:tc>
          <w:tcPr>
            <w:tcW w:type="dxa" w:w="257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有授權的名冊、收款、退款及總帳原件，保留擷取日期與來源</w:t>
            </w:r>
          </w:p>
        </w:tc>
        <w:tc>
          <w:tcPr>
            <w:tcW w:type="dxa" w:w="257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可描述原件呈現的初步數值，仍須清楚註明待調節項</w:t>
            </w:r>
          </w:p>
        </w:tc>
        <w:tc>
          <w:tcPr>
            <w:tcW w:type="dxa" w:w="257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不得跳過權限、隱私、期間或分母檢查</w:t>
            </w:r>
          </w:p>
        </w:tc>
      </w:tr>
      <w:tr>
        <w:trPr>
          <w:cantSplit/>
        </w:trPr>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S2 完成雙向調節</w:t>
            </w:r>
          </w:p>
        </w:tc>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名冊變動、收付款、退款及總帳逐筆或按控制總額勾稽；例外已列示</w:t>
            </w:r>
          </w:p>
        </w:tc>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可依核准口徑計算年度比較並由權責角色覆核</w:t>
            </w:r>
          </w:p>
        </w:tc>
        <w:tc>
          <w:tcPr>
            <w:tcW w:type="dxa" w:w="25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不得把尚未解決的重大差異寫成無差異</w:t>
            </w:r>
          </w:p>
        </w:tc>
      </w:tr>
      <w:tr>
        <w:trPr>
          <w:cantSplit/>
        </w:trPr>
        <w:tc>
          <w:tcPr>
            <w:tcW w:type="dxa" w:w="257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S3 正式覆核完成</w:t>
            </w:r>
          </w:p>
        </w:tc>
        <w:tc>
          <w:tcPr>
            <w:tcW w:type="dxa" w:w="257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依協會授權由不同角色覆核，原件與報告版本可追溯，權限及個資處理合規</w:t>
            </w:r>
          </w:p>
        </w:tc>
        <w:tc>
          <w:tcPr>
            <w:tcW w:type="dxa" w:w="257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可作為協會內部正式管理報告；是否符合評核仍依正式審查</w:t>
            </w:r>
          </w:p>
        </w:tc>
        <w:tc>
          <w:tcPr>
            <w:tcW w:type="dxa" w:w="257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不得宣稱政府、第三方或評核單位核准，除非另有其正式原件</w:t>
            </w:r>
          </w:p>
        </w:tc>
      </w:tr>
    </w:tbl>
    <w:p>
      <w:pPr>
        <w:spacing w:after="40" w:before="0"/>
      </w:pPr>
    </w:p>
    <w:p>
      <w:r>
        <w:rPr>
          <w:rFonts w:ascii="Microsoft JhengHei" w:hAnsi="Microsoft JhengHei" w:eastAsia="Microsoft JhengHei"/>
          <w:b w:val="0"/>
        </w:rPr>
        <w:t>本件目前是 S0。把示範表格保存到 GitHub 或計算出正成長，均不會使它自動升級為 S1、S2 或 S3。</w:t>
      </w:r>
    </w:p>
    <w:p>
      <w:pPr>
        <w:pStyle w:val="Heading1"/>
      </w:pPr>
      <w:r>
        <w:rPr>
          <w:rFonts w:ascii="Microsoft JhengHei" w:hAnsi="Microsoft JhengHei" w:eastAsia="Microsoft JhengHei"/>
          <w:b w:val="0"/>
        </w:rPr>
        <w:t>5 完整 SAMPLE SYNTHETIC 工作案例</w:t>
      </w:r>
    </w:p>
    <w:p>
      <w:r>
        <w:rPr>
          <w:rFonts w:ascii="Microsoft JhengHei" w:hAnsi="Microsoft JhengHei" w:eastAsia="Microsoft JhengHei"/>
          <w:b w:val="0"/>
        </w:rPr>
        <w:t>以下所有年度、數量、類別、費率、收款、退款、欠費、變化率、角色及結論皆為合成資料。費率只是為了展示如何重新計算，不代表原始點協會的會費標準。合成案例假設每一會員類別的年度費率不變，以利演算；正式資料應以各年度制度版本為準。</w:t>
      </w:r>
    </w:p>
    <w:p>
      <w:pPr>
        <w:pStyle w:val="Heading2"/>
      </w:pPr>
      <w:r>
        <w:rPr>
          <w:rFonts w:ascii="Microsoft JhengHei" w:hAnsi="Microsoft JhengHei" w:eastAsia="Microsoft JhengHei"/>
          <w:b w:val="0"/>
        </w:rPr>
        <w:t>5 1 期末會員人數及類別組成</w:t>
      </w:r>
    </w:p>
    <w:tbl>
      <w:tblPr>
        <w:tblStyle w:val="TableGrid"/>
        <w:tblW w:type="auto" w:w="0"/>
        <w:jc w:val="center"/>
        <w:tblLayout w:type="fixed"/>
        <w:tblLook w:firstColumn="1" w:firstRow="1" w:lastColumn="0" w:lastRow="0" w:noHBand="0" w:noVBand="1" w:val="04A0"/>
        <w:tblBorders>
          <w:top w:val="single" w:sz="4" w:space="0" w:color="B8C5CC"/>
          <w:left w:val="single" w:sz="4" w:space="0" w:color="B8C5CC"/>
          <w:bottom w:val="single" w:sz="4" w:space="0" w:color="B8C5CC"/>
          <w:right w:val="single" w:sz="4" w:space="0" w:color="B8C5CC"/>
          <w:insideH w:val="single" w:sz="4" w:space="0" w:color="B8C5CC"/>
          <w:insideV w:val="single" w:sz="4" w:space="0" w:color="B8C5CC"/>
        </w:tblBorders>
      </w:tblPr>
      <w:tblGrid>
        <w:gridCol w:w="1473"/>
        <w:gridCol w:w="1473"/>
        <w:gridCol w:w="1473"/>
        <w:gridCol w:w="1473"/>
        <w:gridCol w:w="1473"/>
        <w:gridCol w:w="1473"/>
        <w:gridCol w:w="1473"/>
      </w:tblGrid>
      <w:tr>
        <w:trPr>
          <w:cantSplit/>
          <w:tblHeader w:val="true"/>
        </w:trPr>
        <w:tc>
          <w:tcPr>
            <w:tcW w:type="dxa" w:w="1725"/>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年度末</w:t>
            </w:r>
          </w:p>
        </w:tc>
        <w:tc>
          <w:tcPr>
            <w:tcW w:type="dxa" w:w="123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一般會員</w:t>
            </w:r>
          </w:p>
        </w:tc>
        <w:tc>
          <w:tcPr>
            <w:tcW w:type="dxa" w:w="123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支持會員</w:t>
            </w:r>
          </w:p>
        </w:tc>
        <w:tc>
          <w:tcPr>
            <w:tcW w:type="dxa" w:w="1509"/>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示範免繳類別</w:t>
            </w:r>
          </w:p>
        </w:tc>
        <w:tc>
          <w:tcPr>
            <w:tcW w:type="dxa" w:w="1725"/>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期末有效會員合計</w:t>
            </w:r>
          </w:p>
        </w:tc>
        <w:tc>
          <w:tcPr>
            <w:tcW w:type="dxa" w:w="1509"/>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與前一年差額</w:t>
            </w:r>
          </w:p>
        </w:tc>
        <w:tc>
          <w:tcPr>
            <w:tcW w:type="dxa" w:w="1378"/>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年增率</w:t>
            </w:r>
          </w:p>
        </w:tc>
      </w:tr>
      <w:tr>
        <w:trPr>
          <w:cantSplit/>
        </w:trPr>
        <w:tc>
          <w:tcPr>
            <w:tcW w:type="dxa" w:w="172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2023-12-31</w:t>
            </w:r>
          </w:p>
        </w:tc>
        <w:tc>
          <w:tcPr>
            <w:tcW w:type="dxa" w:w="123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30</w:t>
            </w:r>
          </w:p>
        </w:tc>
        <w:tc>
          <w:tcPr>
            <w:tcW w:type="dxa" w:w="123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8</w:t>
            </w:r>
          </w:p>
        </w:tc>
        <w:tc>
          <w:tcPr>
            <w:tcW w:type="dxa" w:w="1509"/>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4</w:t>
            </w:r>
          </w:p>
        </w:tc>
        <w:tc>
          <w:tcPr>
            <w:tcW w:type="dxa" w:w="172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42</w:t>
            </w:r>
          </w:p>
        </w:tc>
        <w:tc>
          <w:tcPr>
            <w:tcW w:type="dxa" w:w="1509"/>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基準年</w:t>
            </w:r>
          </w:p>
        </w:tc>
        <w:tc>
          <w:tcPr>
            <w:tcW w:type="dxa" w:w="13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N/A</w:t>
            </w:r>
          </w:p>
        </w:tc>
      </w:tr>
      <w:tr>
        <w:trPr>
          <w:cantSplit/>
        </w:trPr>
        <w:tc>
          <w:tcPr>
            <w:tcW w:type="dxa" w:w="172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2024-12-31</w:t>
            </w:r>
          </w:p>
        </w:tc>
        <w:tc>
          <w:tcPr>
            <w:tcW w:type="dxa" w:w="123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36</w:t>
            </w:r>
          </w:p>
        </w:tc>
        <w:tc>
          <w:tcPr>
            <w:tcW w:type="dxa" w:w="123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8</w:t>
            </w:r>
          </w:p>
        </w:tc>
        <w:tc>
          <w:tcPr>
            <w:tcW w:type="dxa" w:w="1509"/>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4</w:t>
            </w:r>
          </w:p>
        </w:tc>
        <w:tc>
          <w:tcPr>
            <w:tcW w:type="dxa" w:w="172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48</w:t>
            </w:r>
          </w:p>
        </w:tc>
        <w:tc>
          <w:tcPr>
            <w:tcW w:type="dxa" w:w="1509"/>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+6</w:t>
            </w:r>
          </w:p>
        </w:tc>
        <w:tc>
          <w:tcPr>
            <w:tcW w:type="dxa" w:w="137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14.3%</w:t>
            </w:r>
          </w:p>
        </w:tc>
      </w:tr>
      <w:tr>
        <w:trPr>
          <w:cantSplit/>
        </w:trPr>
        <w:tc>
          <w:tcPr>
            <w:tcW w:type="dxa" w:w="172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2025-12-31</w:t>
            </w:r>
          </w:p>
        </w:tc>
        <w:tc>
          <w:tcPr>
            <w:tcW w:type="dxa" w:w="123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40</w:t>
            </w:r>
          </w:p>
        </w:tc>
        <w:tc>
          <w:tcPr>
            <w:tcW w:type="dxa" w:w="123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10</w:t>
            </w:r>
          </w:p>
        </w:tc>
        <w:tc>
          <w:tcPr>
            <w:tcW w:type="dxa" w:w="1509"/>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4</w:t>
            </w:r>
          </w:p>
        </w:tc>
        <w:tc>
          <w:tcPr>
            <w:tcW w:type="dxa" w:w="172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54</w:t>
            </w:r>
          </w:p>
        </w:tc>
        <w:tc>
          <w:tcPr>
            <w:tcW w:type="dxa" w:w="1509"/>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+6</w:t>
            </w:r>
          </w:p>
        </w:tc>
        <w:tc>
          <w:tcPr>
            <w:tcW w:type="dxa" w:w="137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12.5%</w:t>
            </w:r>
          </w:p>
        </w:tc>
      </w:tr>
    </w:tbl>
    <w:p>
      <w:pPr>
        <w:spacing w:after="40" w:before="0"/>
      </w:pPr>
    </w:p>
    <w:p>
      <w:r>
        <w:rPr>
          <w:rFonts w:ascii="Microsoft JhengHei" w:hAnsi="Microsoft JhengHei" w:eastAsia="Microsoft JhengHei"/>
          <w:b w:val="0"/>
        </w:rPr>
        <w:t>會員組成逐年加總：2023 年 30＋8＋4＝42；2024 年 36＋8＋4＝48；2025 年 40＋10＋4＝54。每一年度的類別數均等於期末會員合計，沒有把服務對象或參訓人次併入會員數。</w:t>
      </w:r>
    </w:p>
    <w:p>
      <w:pPr>
        <w:pStyle w:val="Heading2"/>
      </w:pPr>
      <w:r>
        <w:rPr>
          <w:rFonts w:ascii="Microsoft JhengHei" w:hAnsi="Microsoft JhengHei" w:eastAsia="Microsoft JhengHei"/>
          <w:b w:val="0"/>
        </w:rPr>
        <w:t>5 2 會員資格變動調節</w:t>
      </w:r>
    </w:p>
    <w:p>
      <w:r>
        <w:rPr>
          <w:rFonts w:ascii="Microsoft JhengHei" w:hAnsi="Microsoft JhengHei" w:eastAsia="Microsoft JhengHei"/>
          <w:b w:val="0"/>
        </w:rPr>
        <w:t>2023 年在本案例中只有基準期末截面，沒有提供可核驗的 2022 年期末資料，因此不得計算 2023 年增長率。後兩年採用以下完整的期初、加入、退出及期末調節。</w:t>
      </w:r>
    </w:p>
    <w:tbl>
      <w:tblPr>
        <w:tblStyle w:val="TableGrid"/>
        <w:tblW w:type="auto" w:w="0"/>
        <w:jc w:val="center"/>
        <w:tblLayout w:type="fixed"/>
        <w:tblLook w:firstColumn="1" w:firstRow="1" w:lastColumn="0" w:lastRow="0" w:noHBand="0" w:noVBand="1" w:val="04A0"/>
        <w:tblBorders>
          <w:top w:val="single" w:sz="4" w:space="0" w:color="B8C5CC"/>
          <w:left w:val="single" w:sz="4" w:space="0" w:color="B8C5CC"/>
          <w:bottom w:val="single" w:sz="4" w:space="0" w:color="B8C5CC"/>
          <w:right w:val="single" w:sz="4" w:space="0" w:color="B8C5CC"/>
          <w:insideH w:val="single" w:sz="4" w:space="0" w:color="B8C5CC"/>
          <w:insideV w:val="single" w:sz="4" w:space="0" w:color="B8C5CC"/>
        </w:tblBorders>
      </w:tblPr>
      <w:tblGrid>
        <w:gridCol w:w="1473"/>
        <w:gridCol w:w="1473"/>
        <w:gridCol w:w="1473"/>
        <w:gridCol w:w="1473"/>
        <w:gridCol w:w="1473"/>
        <w:gridCol w:w="1473"/>
        <w:gridCol w:w="1473"/>
      </w:tblGrid>
      <w:tr>
        <w:trPr>
          <w:cantSplit/>
          <w:tblHeader w:val="true"/>
        </w:trPr>
        <w:tc>
          <w:tcPr>
            <w:tcW w:type="dxa" w:w="1266"/>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年度</w:t>
            </w:r>
          </w:p>
        </w:tc>
        <w:tc>
          <w:tcPr>
            <w:tcW w:type="dxa" w:w="1551"/>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類別</w:t>
            </w:r>
          </w:p>
        </w:tc>
        <w:tc>
          <w:tcPr>
            <w:tcW w:type="dxa" w:w="1266"/>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期初人數</w:t>
            </w:r>
          </w:p>
        </w:tc>
        <w:tc>
          <w:tcPr>
            <w:tcW w:type="dxa" w:w="1416"/>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當年新入會</w:t>
            </w:r>
          </w:p>
        </w:tc>
        <w:tc>
          <w:tcPr>
            <w:tcW w:type="dxa" w:w="1773"/>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當年退出／資格終止</w:t>
            </w:r>
          </w:p>
        </w:tc>
        <w:tc>
          <w:tcPr>
            <w:tcW w:type="dxa" w:w="1266"/>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期末人數</w:t>
            </w:r>
          </w:p>
        </w:tc>
        <w:tc>
          <w:tcPr>
            <w:tcW w:type="dxa" w:w="1773"/>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勾稽</w:t>
            </w:r>
          </w:p>
        </w:tc>
      </w:tr>
      <w:tr>
        <w:trPr>
          <w:cantSplit/>
        </w:trPr>
        <w:tc>
          <w:tcPr>
            <w:tcW w:type="dxa" w:w="126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2024</w:t>
            </w:r>
          </w:p>
        </w:tc>
        <w:tc>
          <w:tcPr>
            <w:tcW w:type="dxa" w:w="1551"/>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一般會員</w:t>
            </w:r>
          </w:p>
        </w:tc>
        <w:tc>
          <w:tcPr>
            <w:tcW w:type="dxa" w:w="126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30</w:t>
            </w:r>
          </w:p>
        </w:tc>
        <w:tc>
          <w:tcPr>
            <w:tcW w:type="dxa" w:w="141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7</w:t>
            </w:r>
          </w:p>
        </w:tc>
        <w:tc>
          <w:tcPr>
            <w:tcW w:type="dxa" w:w="1773"/>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1</w:t>
            </w:r>
          </w:p>
        </w:tc>
        <w:tc>
          <w:tcPr>
            <w:tcW w:type="dxa" w:w="126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36</w:t>
            </w:r>
          </w:p>
        </w:tc>
        <w:tc>
          <w:tcPr>
            <w:tcW w:type="dxa" w:w="1773"/>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30＋7－1＝36</w:t>
            </w:r>
          </w:p>
        </w:tc>
      </w:tr>
      <w:tr>
        <w:trPr>
          <w:cantSplit/>
        </w:trPr>
        <w:tc>
          <w:tcPr>
            <w:tcW w:type="dxa" w:w="1266"/>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2024</w:t>
            </w:r>
          </w:p>
        </w:tc>
        <w:tc>
          <w:tcPr>
            <w:tcW w:type="dxa" w:w="1551"/>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支持會員</w:t>
            </w:r>
          </w:p>
        </w:tc>
        <w:tc>
          <w:tcPr>
            <w:tcW w:type="dxa" w:w="1266"/>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8</w:t>
            </w:r>
          </w:p>
        </w:tc>
        <w:tc>
          <w:tcPr>
            <w:tcW w:type="dxa" w:w="1416"/>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w:t>
            </w:r>
          </w:p>
        </w:tc>
        <w:tc>
          <w:tcPr>
            <w:tcW w:type="dxa" w:w="1773"/>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w:t>
            </w:r>
          </w:p>
        </w:tc>
        <w:tc>
          <w:tcPr>
            <w:tcW w:type="dxa" w:w="1266"/>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8</w:t>
            </w:r>
          </w:p>
        </w:tc>
        <w:tc>
          <w:tcPr>
            <w:tcW w:type="dxa" w:w="1773"/>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8＋2－2＝8</w:t>
            </w:r>
          </w:p>
        </w:tc>
      </w:tr>
      <w:tr>
        <w:trPr>
          <w:cantSplit/>
        </w:trPr>
        <w:tc>
          <w:tcPr>
            <w:tcW w:type="dxa" w:w="126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2024</w:t>
            </w:r>
          </w:p>
        </w:tc>
        <w:tc>
          <w:tcPr>
            <w:tcW w:type="dxa" w:w="1551"/>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示範免繳類別</w:t>
            </w:r>
          </w:p>
        </w:tc>
        <w:tc>
          <w:tcPr>
            <w:tcW w:type="dxa" w:w="126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4</w:t>
            </w:r>
          </w:p>
        </w:tc>
        <w:tc>
          <w:tcPr>
            <w:tcW w:type="dxa" w:w="141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1</w:t>
            </w:r>
          </w:p>
        </w:tc>
        <w:tc>
          <w:tcPr>
            <w:tcW w:type="dxa" w:w="1773"/>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1</w:t>
            </w:r>
          </w:p>
        </w:tc>
        <w:tc>
          <w:tcPr>
            <w:tcW w:type="dxa" w:w="126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4</w:t>
            </w:r>
          </w:p>
        </w:tc>
        <w:tc>
          <w:tcPr>
            <w:tcW w:type="dxa" w:w="1773"/>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4＋1－1＝4</w:t>
            </w:r>
          </w:p>
        </w:tc>
      </w:tr>
      <w:tr>
        <w:trPr>
          <w:cantSplit/>
        </w:trPr>
        <w:tc>
          <w:tcPr>
            <w:tcW w:type="dxa" w:w="1266"/>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2024</w:t>
            </w:r>
          </w:p>
        </w:tc>
        <w:tc>
          <w:tcPr>
            <w:tcW w:type="dxa" w:w="1551"/>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合計</w:t>
            </w:r>
          </w:p>
        </w:tc>
        <w:tc>
          <w:tcPr>
            <w:tcW w:type="dxa" w:w="1266"/>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42</w:t>
            </w:r>
          </w:p>
        </w:tc>
        <w:tc>
          <w:tcPr>
            <w:tcW w:type="dxa" w:w="1416"/>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10</w:t>
            </w:r>
          </w:p>
        </w:tc>
        <w:tc>
          <w:tcPr>
            <w:tcW w:type="dxa" w:w="1773"/>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4</w:t>
            </w:r>
          </w:p>
        </w:tc>
        <w:tc>
          <w:tcPr>
            <w:tcW w:type="dxa" w:w="1266"/>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48</w:t>
            </w:r>
          </w:p>
        </w:tc>
        <w:tc>
          <w:tcPr>
            <w:tcW w:type="dxa" w:w="1773"/>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42＋10－4＝48</w:t>
            </w:r>
          </w:p>
        </w:tc>
      </w:tr>
      <w:tr>
        <w:trPr>
          <w:cantSplit/>
        </w:trPr>
        <w:tc>
          <w:tcPr>
            <w:tcW w:type="dxa" w:w="126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2025</w:t>
            </w:r>
          </w:p>
        </w:tc>
        <w:tc>
          <w:tcPr>
            <w:tcW w:type="dxa" w:w="1551"/>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一般會員</w:t>
            </w:r>
          </w:p>
        </w:tc>
        <w:tc>
          <w:tcPr>
            <w:tcW w:type="dxa" w:w="126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36</w:t>
            </w:r>
          </w:p>
        </w:tc>
        <w:tc>
          <w:tcPr>
            <w:tcW w:type="dxa" w:w="141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6</w:t>
            </w:r>
          </w:p>
        </w:tc>
        <w:tc>
          <w:tcPr>
            <w:tcW w:type="dxa" w:w="1773"/>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w:t>
            </w:r>
          </w:p>
        </w:tc>
        <w:tc>
          <w:tcPr>
            <w:tcW w:type="dxa" w:w="126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40</w:t>
            </w:r>
          </w:p>
        </w:tc>
        <w:tc>
          <w:tcPr>
            <w:tcW w:type="dxa" w:w="1773"/>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36＋6－2＝40</w:t>
            </w:r>
          </w:p>
        </w:tc>
      </w:tr>
      <w:tr>
        <w:trPr>
          <w:cantSplit/>
        </w:trPr>
        <w:tc>
          <w:tcPr>
            <w:tcW w:type="dxa" w:w="1266"/>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2025</w:t>
            </w:r>
          </w:p>
        </w:tc>
        <w:tc>
          <w:tcPr>
            <w:tcW w:type="dxa" w:w="1551"/>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支持會員</w:t>
            </w:r>
          </w:p>
        </w:tc>
        <w:tc>
          <w:tcPr>
            <w:tcW w:type="dxa" w:w="1266"/>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8</w:t>
            </w:r>
          </w:p>
        </w:tc>
        <w:tc>
          <w:tcPr>
            <w:tcW w:type="dxa" w:w="1416"/>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3</w:t>
            </w:r>
          </w:p>
        </w:tc>
        <w:tc>
          <w:tcPr>
            <w:tcW w:type="dxa" w:w="1773"/>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1</w:t>
            </w:r>
          </w:p>
        </w:tc>
        <w:tc>
          <w:tcPr>
            <w:tcW w:type="dxa" w:w="1266"/>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10</w:t>
            </w:r>
          </w:p>
        </w:tc>
        <w:tc>
          <w:tcPr>
            <w:tcW w:type="dxa" w:w="1773"/>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8＋3－1＝10</w:t>
            </w:r>
          </w:p>
        </w:tc>
      </w:tr>
      <w:tr>
        <w:trPr>
          <w:cantSplit/>
        </w:trPr>
        <w:tc>
          <w:tcPr>
            <w:tcW w:type="dxa" w:w="126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2025</w:t>
            </w:r>
          </w:p>
        </w:tc>
        <w:tc>
          <w:tcPr>
            <w:tcW w:type="dxa" w:w="1551"/>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示範免繳類別</w:t>
            </w:r>
          </w:p>
        </w:tc>
        <w:tc>
          <w:tcPr>
            <w:tcW w:type="dxa" w:w="126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4</w:t>
            </w:r>
          </w:p>
        </w:tc>
        <w:tc>
          <w:tcPr>
            <w:tcW w:type="dxa" w:w="141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1</w:t>
            </w:r>
          </w:p>
        </w:tc>
        <w:tc>
          <w:tcPr>
            <w:tcW w:type="dxa" w:w="1773"/>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1</w:t>
            </w:r>
          </w:p>
        </w:tc>
        <w:tc>
          <w:tcPr>
            <w:tcW w:type="dxa" w:w="126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4</w:t>
            </w:r>
          </w:p>
        </w:tc>
        <w:tc>
          <w:tcPr>
            <w:tcW w:type="dxa" w:w="1773"/>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4＋1－1＝4</w:t>
            </w:r>
          </w:p>
        </w:tc>
      </w:tr>
      <w:tr>
        <w:trPr>
          <w:cantSplit/>
        </w:trPr>
        <w:tc>
          <w:tcPr>
            <w:tcW w:type="dxa" w:w="1266"/>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2025</w:t>
            </w:r>
          </w:p>
        </w:tc>
        <w:tc>
          <w:tcPr>
            <w:tcW w:type="dxa" w:w="1551"/>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合計</w:t>
            </w:r>
          </w:p>
        </w:tc>
        <w:tc>
          <w:tcPr>
            <w:tcW w:type="dxa" w:w="1266"/>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48</w:t>
            </w:r>
          </w:p>
        </w:tc>
        <w:tc>
          <w:tcPr>
            <w:tcW w:type="dxa" w:w="1416"/>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10</w:t>
            </w:r>
          </w:p>
        </w:tc>
        <w:tc>
          <w:tcPr>
            <w:tcW w:type="dxa" w:w="1773"/>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4</w:t>
            </w:r>
          </w:p>
        </w:tc>
        <w:tc>
          <w:tcPr>
            <w:tcW w:type="dxa" w:w="1266"/>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54</w:t>
            </w:r>
          </w:p>
        </w:tc>
        <w:tc>
          <w:tcPr>
            <w:tcW w:type="dxa" w:w="1773"/>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48＋10－4＝54</w:t>
            </w:r>
          </w:p>
        </w:tc>
      </w:tr>
    </w:tbl>
    <w:p>
      <w:pPr>
        <w:spacing w:after="40" w:before="0"/>
      </w:pPr>
    </w:p>
    <w:p>
      <w:r>
        <w:rPr>
          <w:rFonts w:ascii="Microsoft JhengHei" w:hAnsi="Microsoft JhengHei" w:eastAsia="Microsoft JhengHei"/>
          <w:b w:val="0"/>
        </w:rPr>
        <w:t>若真實名冊的期初加新增減退出不等於期末，先停止趨勢判定，列出轉類、重複、補登、撤銷、死亡、資格停復權及截止日差異。不得將不平衡項目以「其他」直接沖平。</w:t>
      </w:r>
    </w:p>
    <w:p>
      <w:pPr>
        <w:pStyle w:val="Heading2"/>
      </w:pPr>
      <w:r>
        <w:rPr>
          <w:rFonts w:ascii="Microsoft JhengHei" w:hAnsi="Microsoft JhengHei" w:eastAsia="Microsoft JhengHei"/>
          <w:b w:val="0"/>
        </w:rPr>
        <w:t>5 3 示範費率及年度收款調節</w:t>
      </w:r>
    </w:p>
    <w:tbl>
      <w:tblPr>
        <w:tblStyle w:val="TableGrid"/>
        <w:tblW w:type="auto" w:w="0"/>
        <w:jc w:val="center"/>
        <w:tblLayout w:type="fixed"/>
        <w:tblLook w:firstColumn="1" w:firstRow="1" w:lastColumn="0" w:lastRow="0" w:noHBand="0" w:noVBand="1" w:val="04A0"/>
        <w:tblBorders>
          <w:top w:val="single" w:sz="4" w:space="0" w:color="B8C5CC"/>
          <w:left w:val="single" w:sz="4" w:space="0" w:color="B8C5CC"/>
          <w:bottom w:val="single" w:sz="4" w:space="0" w:color="B8C5CC"/>
          <w:right w:val="single" w:sz="4" w:space="0" w:color="B8C5CC"/>
          <w:insideH w:val="single" w:sz="4" w:space="0" w:color="B8C5CC"/>
          <w:insideV w:val="single" w:sz="4" w:space="0" w:color="B8C5CC"/>
        </w:tblBorders>
      </w:tblPr>
      <w:tblGrid>
        <w:gridCol w:w="2062"/>
        <w:gridCol w:w="2062"/>
        <w:gridCol w:w="2062"/>
        <w:gridCol w:w="2062"/>
        <w:gridCol w:w="2062"/>
      </w:tblGrid>
      <w:tr>
        <w:trPr>
          <w:cantSplit/>
          <w:tblHeader w:val="true"/>
        </w:trPr>
        <w:tc>
          <w:tcPr>
            <w:tcW w:type="dxa" w:w="1850"/>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合成類別</w:t>
            </w:r>
          </w:p>
        </w:tc>
        <w:tc>
          <w:tcPr>
            <w:tcW w:type="dxa" w:w="2115"/>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合成年度費率</w:t>
            </w:r>
          </w:p>
        </w:tc>
        <w:tc>
          <w:tcPr>
            <w:tcW w:type="dxa" w:w="2115"/>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是否計入期末會員</w:t>
            </w:r>
          </w:p>
        </w:tc>
        <w:tc>
          <w:tcPr>
            <w:tcW w:type="dxa" w:w="2115"/>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合成收款規則</w:t>
            </w:r>
          </w:p>
        </w:tc>
        <w:tc>
          <w:tcPr>
            <w:tcW w:type="dxa" w:w="2115"/>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真實替換提醒</w:t>
            </w:r>
          </w:p>
        </w:tc>
      </w:tr>
      <w:tr>
        <w:trPr>
          <w:cantSplit/>
        </w:trPr>
        <w:tc>
          <w:tcPr>
            <w:tcW w:type="dxa" w:w="1850"/>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一般會員</w:t>
            </w:r>
          </w:p>
        </w:tc>
        <w:tc>
          <w:tcPr>
            <w:tcW w:type="dxa" w:w="211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NT$3,000</w:t>
            </w:r>
          </w:p>
        </w:tc>
        <w:tc>
          <w:tcPr>
            <w:tcW w:type="dxa" w:w="211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是</w:t>
            </w:r>
          </w:p>
        </w:tc>
        <w:tc>
          <w:tcPr>
            <w:tcW w:type="dxa" w:w="211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以當年實際收款人數乘示範費率</w:t>
            </w:r>
          </w:p>
        </w:tc>
        <w:tc>
          <w:tcPr>
            <w:tcW w:type="dxa" w:w="211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費率及資格以正式會員制度與有效版本為準</w:t>
            </w:r>
          </w:p>
        </w:tc>
      </w:tr>
      <w:tr>
        <w:trPr>
          <w:cantSplit/>
        </w:trPr>
        <w:tc>
          <w:tcPr>
            <w:tcW w:type="dxa" w:w="1850"/>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支持會員</w:t>
            </w:r>
          </w:p>
        </w:tc>
        <w:tc>
          <w:tcPr>
            <w:tcW w:type="dxa" w:w="211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NT$1,500</w:t>
            </w:r>
          </w:p>
        </w:tc>
        <w:tc>
          <w:tcPr>
            <w:tcW w:type="dxa" w:w="211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是</w:t>
            </w:r>
          </w:p>
        </w:tc>
        <w:tc>
          <w:tcPr>
            <w:tcW w:type="dxa" w:w="211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以當年實際收款人數乘示範費率</w:t>
            </w:r>
          </w:p>
        </w:tc>
        <w:tc>
          <w:tcPr>
            <w:tcW w:type="dxa" w:w="211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不可將支持會員等同一般會員，需保留類別欄位</w:t>
            </w:r>
          </w:p>
        </w:tc>
      </w:tr>
      <w:tr>
        <w:trPr>
          <w:cantSplit/>
        </w:trPr>
        <w:tc>
          <w:tcPr>
            <w:tcW w:type="dxa" w:w="1850"/>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示範免繳類別</w:t>
            </w:r>
          </w:p>
        </w:tc>
        <w:tc>
          <w:tcPr>
            <w:tcW w:type="dxa" w:w="211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NT$0</w:t>
            </w:r>
          </w:p>
        </w:tc>
        <w:tc>
          <w:tcPr>
            <w:tcW w:type="dxa" w:w="211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是</w:t>
            </w:r>
          </w:p>
        </w:tc>
        <w:tc>
          <w:tcPr>
            <w:tcW w:type="dxa" w:w="211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本案例假設不產生收款</w:t>
            </w:r>
          </w:p>
        </w:tc>
        <w:tc>
          <w:tcPr>
            <w:tcW w:type="dxa" w:w="211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免繳資格、類別及核准均須由真實制度支持</w:t>
            </w:r>
          </w:p>
        </w:tc>
      </w:tr>
    </w:tbl>
    <w:p>
      <w:pPr>
        <w:spacing w:after="40" w:before="0"/>
      </w:pPr>
    </w:p>
    <w:tbl>
      <w:tblPr>
        <w:tblStyle w:val="TableGrid"/>
        <w:tblW w:type="auto" w:w="0"/>
        <w:jc w:val="center"/>
        <w:tblLayout w:type="fixed"/>
        <w:tblLook w:firstColumn="1" w:firstRow="1" w:lastColumn="0" w:lastRow="0" w:noHBand="0" w:noVBand="1" w:val="04A0"/>
        <w:tblBorders>
          <w:top w:val="single" w:sz="4" w:space="0" w:color="B8C5CC"/>
          <w:left w:val="single" w:sz="4" w:space="0" w:color="B8C5CC"/>
          <w:bottom w:val="single" w:sz="4" w:space="0" w:color="B8C5CC"/>
          <w:right w:val="single" w:sz="4" w:space="0" w:color="B8C5CC"/>
          <w:insideH w:val="single" w:sz="4" w:space="0" w:color="B8C5CC"/>
          <w:insideV w:val="single" w:sz="4" w:space="0" w:color="B8C5CC"/>
        </w:tblBorders>
      </w:tblPr>
      <w:tblGrid>
        <w:gridCol w:w="1473"/>
        <w:gridCol w:w="1473"/>
        <w:gridCol w:w="1473"/>
        <w:gridCol w:w="1473"/>
        <w:gridCol w:w="1473"/>
        <w:gridCol w:w="1473"/>
        <w:gridCol w:w="1473"/>
      </w:tblGrid>
      <w:tr>
        <w:trPr>
          <w:cantSplit/>
          <w:tblHeader w:val="true"/>
        </w:trPr>
        <w:tc>
          <w:tcPr>
            <w:tcW w:type="dxa" w:w="1097"/>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收款年度</w:t>
            </w:r>
          </w:p>
        </w:tc>
        <w:tc>
          <w:tcPr>
            <w:tcW w:type="dxa" w:w="1536"/>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一般會員收款人數</w:t>
            </w:r>
          </w:p>
        </w:tc>
        <w:tc>
          <w:tcPr>
            <w:tcW w:type="dxa" w:w="1536"/>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一般會員收款小計</w:t>
            </w:r>
          </w:p>
        </w:tc>
        <w:tc>
          <w:tcPr>
            <w:tcW w:type="dxa" w:w="1536"/>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支持會員收款人數</w:t>
            </w:r>
          </w:p>
        </w:tc>
        <w:tc>
          <w:tcPr>
            <w:tcW w:type="dxa" w:w="1536"/>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支持會員收款小計</w:t>
            </w:r>
          </w:p>
        </w:tc>
        <w:tc>
          <w:tcPr>
            <w:tcW w:type="dxa" w:w="1536"/>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退款／折讓</w:t>
            </w:r>
          </w:p>
        </w:tc>
        <w:tc>
          <w:tcPr>
            <w:tcW w:type="dxa" w:w="1536"/>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示範淨收款</w:t>
            </w:r>
          </w:p>
        </w:tc>
      </w:tr>
      <w:tr>
        <w:trPr>
          <w:cantSplit/>
        </w:trPr>
        <w:tc>
          <w:tcPr>
            <w:tcW w:type="dxa" w:w="1097"/>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2023</w:t>
            </w:r>
          </w:p>
        </w:tc>
        <w:tc>
          <w:tcPr>
            <w:tcW w:type="dxa" w:w="153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30</w:t>
            </w:r>
          </w:p>
        </w:tc>
        <w:tc>
          <w:tcPr>
            <w:tcW w:type="dxa" w:w="153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NT$90,000</w:t>
            </w:r>
          </w:p>
        </w:tc>
        <w:tc>
          <w:tcPr>
            <w:tcW w:type="dxa" w:w="153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8</w:t>
            </w:r>
          </w:p>
        </w:tc>
        <w:tc>
          <w:tcPr>
            <w:tcW w:type="dxa" w:w="153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NT$12,000</w:t>
            </w:r>
          </w:p>
        </w:tc>
        <w:tc>
          <w:tcPr>
            <w:tcW w:type="dxa" w:w="153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NT$0</w:t>
            </w:r>
          </w:p>
        </w:tc>
        <w:tc>
          <w:tcPr>
            <w:tcW w:type="dxa" w:w="153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NT$102,000</w:t>
            </w:r>
          </w:p>
        </w:tc>
      </w:tr>
      <w:tr>
        <w:trPr>
          <w:cantSplit/>
        </w:trPr>
        <w:tc>
          <w:tcPr>
            <w:tcW w:type="dxa" w:w="1097"/>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2024</w:t>
            </w:r>
          </w:p>
        </w:tc>
        <w:tc>
          <w:tcPr>
            <w:tcW w:type="dxa" w:w="1536"/>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34</w:t>
            </w:r>
          </w:p>
        </w:tc>
        <w:tc>
          <w:tcPr>
            <w:tcW w:type="dxa" w:w="1536"/>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NT$102,000</w:t>
            </w:r>
          </w:p>
        </w:tc>
        <w:tc>
          <w:tcPr>
            <w:tcW w:type="dxa" w:w="1536"/>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8</w:t>
            </w:r>
          </w:p>
        </w:tc>
        <w:tc>
          <w:tcPr>
            <w:tcW w:type="dxa" w:w="1536"/>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NT$12,000</w:t>
            </w:r>
          </w:p>
        </w:tc>
        <w:tc>
          <w:tcPr>
            <w:tcW w:type="dxa" w:w="1536"/>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-NT$3,000</w:t>
            </w:r>
          </w:p>
        </w:tc>
        <w:tc>
          <w:tcPr>
            <w:tcW w:type="dxa" w:w="1536"/>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NT$111,000</w:t>
            </w:r>
          </w:p>
        </w:tc>
      </w:tr>
      <w:tr>
        <w:trPr>
          <w:cantSplit/>
        </w:trPr>
        <w:tc>
          <w:tcPr>
            <w:tcW w:type="dxa" w:w="1097"/>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2025</w:t>
            </w:r>
          </w:p>
        </w:tc>
        <w:tc>
          <w:tcPr>
            <w:tcW w:type="dxa" w:w="153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38</w:t>
            </w:r>
          </w:p>
        </w:tc>
        <w:tc>
          <w:tcPr>
            <w:tcW w:type="dxa" w:w="153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NT$114,000</w:t>
            </w:r>
          </w:p>
        </w:tc>
        <w:tc>
          <w:tcPr>
            <w:tcW w:type="dxa" w:w="153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9</w:t>
            </w:r>
          </w:p>
        </w:tc>
        <w:tc>
          <w:tcPr>
            <w:tcW w:type="dxa" w:w="153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NT$13,500</w:t>
            </w:r>
          </w:p>
        </w:tc>
        <w:tc>
          <w:tcPr>
            <w:tcW w:type="dxa" w:w="153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-NT$1,500</w:t>
            </w:r>
          </w:p>
        </w:tc>
        <w:tc>
          <w:tcPr>
            <w:tcW w:type="dxa" w:w="153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NT$126,000</w:t>
            </w:r>
          </w:p>
        </w:tc>
      </w:tr>
    </w:tbl>
    <w:p>
      <w:pPr>
        <w:spacing w:after="40" w:before="0"/>
      </w:pPr>
    </w:p>
    <w:p>
      <w:r>
        <w:rPr>
          <w:rFonts w:ascii="Microsoft JhengHei" w:hAnsi="Microsoft JhengHei" w:eastAsia="Microsoft JhengHei"/>
          <w:b w:val="0"/>
        </w:rPr>
        <w:t>逐年勾稽如下：</w:t>
      </w:r>
    </w:p>
    <w:tbl>
      <w:tblPr>
        <w:tblStyle w:val="TableGrid"/>
        <w:tblW w:type="auto" w:w="0"/>
        <w:jc w:val="center"/>
        <w:tblLayout w:type="fixed"/>
        <w:tblLook w:firstColumn="1" w:firstRow="1" w:lastColumn="0" w:lastRow="0" w:noHBand="0" w:noVBand="1" w:val="04A0"/>
        <w:tblBorders>
          <w:top w:val="single" w:sz="4" w:space="0" w:color="B8C5CC"/>
          <w:left w:val="single" w:sz="4" w:space="0" w:color="B8C5CC"/>
          <w:bottom w:val="single" w:sz="4" w:space="0" w:color="B8C5CC"/>
          <w:right w:val="single" w:sz="4" w:space="0" w:color="B8C5CC"/>
          <w:insideH w:val="single" w:sz="4" w:space="0" w:color="B8C5CC"/>
          <w:insideV w:val="single" w:sz="4" w:space="0" w:color="B8C5CC"/>
        </w:tblBorders>
      </w:tblPr>
      <w:tblGrid>
        <w:gridCol w:w="1718"/>
        <w:gridCol w:w="1718"/>
        <w:gridCol w:w="1718"/>
        <w:gridCol w:w="1718"/>
        <w:gridCol w:w="1718"/>
        <w:gridCol w:w="1718"/>
      </w:tblGrid>
      <w:tr>
        <w:trPr>
          <w:cantSplit/>
          <w:tblHeader w:val="true"/>
        </w:trPr>
        <w:tc>
          <w:tcPr>
            <w:tcW w:type="dxa" w:w="1289"/>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年度</w:t>
            </w:r>
          </w:p>
        </w:tc>
        <w:tc>
          <w:tcPr>
            <w:tcW w:type="dxa" w:w="1804"/>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收款小計重算</w:t>
            </w:r>
          </w:p>
        </w:tc>
        <w:tc>
          <w:tcPr>
            <w:tcW w:type="dxa" w:w="1804"/>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收款總額</w:t>
            </w:r>
          </w:p>
        </w:tc>
        <w:tc>
          <w:tcPr>
            <w:tcW w:type="dxa" w:w="1804"/>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扣退款</w:t>
            </w:r>
          </w:p>
        </w:tc>
        <w:tc>
          <w:tcPr>
            <w:tcW w:type="dxa" w:w="1804"/>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示範淨收款</w:t>
            </w:r>
          </w:p>
        </w:tc>
        <w:tc>
          <w:tcPr>
            <w:tcW w:type="dxa" w:w="1804"/>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未收欠費情況</w:t>
            </w:r>
          </w:p>
        </w:tc>
      </w:tr>
      <w:tr>
        <w:trPr>
          <w:cantSplit/>
        </w:trPr>
        <w:tc>
          <w:tcPr>
            <w:tcW w:type="dxa" w:w="1289"/>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2023</w:t>
            </w:r>
          </w:p>
        </w:tc>
        <w:tc>
          <w:tcPr>
            <w:tcW w:type="dxa" w:w="1804"/>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30×3,000＋8×1,500</w:t>
            </w:r>
          </w:p>
        </w:tc>
        <w:tc>
          <w:tcPr>
            <w:tcW w:type="dxa" w:w="1804"/>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NT$102,000</w:t>
            </w:r>
          </w:p>
        </w:tc>
        <w:tc>
          <w:tcPr>
            <w:tcW w:type="dxa" w:w="1804"/>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NT$0</w:t>
            </w:r>
          </w:p>
        </w:tc>
        <w:tc>
          <w:tcPr>
            <w:tcW w:type="dxa" w:w="1804"/>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NT$102,000</w:t>
            </w:r>
          </w:p>
        </w:tc>
        <w:tc>
          <w:tcPr>
            <w:tcW w:type="dxa" w:w="1804"/>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合成例中一般與支持會員均已收款；不是協會事實</w:t>
            </w:r>
          </w:p>
        </w:tc>
      </w:tr>
      <w:tr>
        <w:trPr>
          <w:cantSplit/>
        </w:trPr>
        <w:tc>
          <w:tcPr>
            <w:tcW w:type="dxa" w:w="1289"/>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2024</w:t>
            </w:r>
          </w:p>
        </w:tc>
        <w:tc>
          <w:tcPr>
            <w:tcW w:type="dxa" w:w="1804"/>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34×3,000＋8×1,500</w:t>
            </w:r>
          </w:p>
        </w:tc>
        <w:tc>
          <w:tcPr>
            <w:tcW w:type="dxa" w:w="1804"/>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NT$114,000</w:t>
            </w:r>
          </w:p>
        </w:tc>
        <w:tc>
          <w:tcPr>
            <w:tcW w:type="dxa" w:w="1804"/>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NT$3,000</w:t>
            </w:r>
          </w:p>
        </w:tc>
        <w:tc>
          <w:tcPr>
            <w:tcW w:type="dxa" w:w="1804"/>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NT$111,000</w:t>
            </w:r>
          </w:p>
        </w:tc>
        <w:tc>
          <w:tcPr>
            <w:tcW w:type="dxa" w:w="1804"/>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48 位有效會員中，2 位一般會員在示範收款截止日仍未收；免繳類別不列為欠費</w:t>
            </w:r>
          </w:p>
        </w:tc>
      </w:tr>
      <w:tr>
        <w:trPr>
          <w:cantSplit/>
        </w:trPr>
        <w:tc>
          <w:tcPr>
            <w:tcW w:type="dxa" w:w="1289"/>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2025</w:t>
            </w:r>
          </w:p>
        </w:tc>
        <w:tc>
          <w:tcPr>
            <w:tcW w:type="dxa" w:w="1804"/>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38×3,000＋9×1,500</w:t>
            </w:r>
          </w:p>
        </w:tc>
        <w:tc>
          <w:tcPr>
            <w:tcW w:type="dxa" w:w="1804"/>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NT$127,500</w:t>
            </w:r>
          </w:p>
        </w:tc>
        <w:tc>
          <w:tcPr>
            <w:tcW w:type="dxa" w:w="1804"/>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NT$1,500</w:t>
            </w:r>
          </w:p>
        </w:tc>
        <w:tc>
          <w:tcPr>
            <w:tcW w:type="dxa" w:w="1804"/>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NT$126,000</w:t>
            </w:r>
          </w:p>
        </w:tc>
        <w:tc>
          <w:tcPr>
            <w:tcW w:type="dxa" w:w="1804"/>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54 位有效會員中，2 位一般會員及 1 位支持會員在示範截止日仍未收；免繳類別不列為欠費</w:t>
            </w:r>
          </w:p>
        </w:tc>
      </w:tr>
    </w:tbl>
    <w:p>
      <w:pPr>
        <w:spacing w:after="40" w:before="0"/>
      </w:pPr>
    </w:p>
    <w:p>
      <w:r>
        <w:rPr>
          <w:rFonts w:ascii="Microsoft JhengHei" w:hAnsi="Microsoft JhengHei" w:eastAsia="Microsoft JhengHei"/>
          <w:b w:val="0"/>
        </w:rPr>
        <w:t>這個調節刻意使期末會員人數與當年收款人數不同。會員人數回答「年末有多少有效會員」；現金收款回答「本年實收多少」。欠費會員仍可能具有會員資格，免繳會員亦不會產生現金收款。若把期末有效會員人數直接乘費率當作實際收入，會忽略欠費、部分年度、減免、退款及跨年度款項，造成錯誤。</w:t>
      </w:r>
    </w:p>
    <w:p>
      <w:pPr>
        <w:pStyle w:val="Heading2"/>
      </w:pPr>
      <w:r>
        <w:rPr>
          <w:rFonts w:ascii="Microsoft JhengHei" w:hAnsi="Microsoft JhengHei" w:eastAsia="Microsoft JhengHei"/>
          <w:b w:val="0"/>
        </w:rPr>
        <w:t>5 4 可重算公式與逐步計算</w:t>
      </w:r>
    </w:p>
    <w:tbl>
      <w:tblPr>
        <w:tblStyle w:val="TableGrid"/>
        <w:tblW w:type="auto" w:w="0"/>
        <w:jc w:val="center"/>
        <w:tblLayout w:type="fixed"/>
        <w:tblLook w:firstColumn="1" w:firstRow="1" w:lastColumn="0" w:lastRow="0" w:noHBand="0" w:noVBand="1" w:val="04A0"/>
        <w:tblBorders>
          <w:top w:val="single" w:sz="4" w:space="0" w:color="B8C5CC"/>
          <w:left w:val="single" w:sz="4" w:space="0" w:color="B8C5CC"/>
          <w:bottom w:val="single" w:sz="4" w:space="0" w:color="B8C5CC"/>
          <w:right w:val="single" w:sz="4" w:space="0" w:color="B8C5CC"/>
          <w:insideH w:val="single" w:sz="4" w:space="0" w:color="B8C5CC"/>
          <w:insideV w:val="single" w:sz="4" w:space="0" w:color="B8C5CC"/>
        </w:tblBorders>
      </w:tblPr>
      <w:tblGrid>
        <w:gridCol w:w="2062"/>
        <w:gridCol w:w="2062"/>
        <w:gridCol w:w="2062"/>
        <w:gridCol w:w="2062"/>
        <w:gridCol w:w="2062"/>
      </w:tblGrid>
      <w:tr>
        <w:trPr>
          <w:cantSplit/>
          <w:tblHeader w:val="true"/>
        </w:trPr>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指標</w:t>
            </w:r>
          </w:p>
        </w:tc>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公式</w:t>
            </w:r>
          </w:p>
        </w:tc>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2024 計算</w:t>
            </w:r>
          </w:p>
        </w:tc>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2025 計算</w:t>
            </w:r>
          </w:p>
        </w:tc>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判讀</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會員人數年增率</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（本年期末有效會員－前一年期末有效會員）÷前一年期末有效會員×100%</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（48－42）÷42×100%＝6÷42×100%＝14.2857%，四捨五入 14.3%</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（54－48）÷48×100%＝6÷48×100%＝12.5%</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兩年示範差額為正；2023 是基準年，無 2022 分母故不計率</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示範淨收款年增率</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（本年示範淨收款－前一年示範淨收款）÷前一年示範淨收款×100%</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（111,000－102,000）÷102,000×100%＝9,000÷102,000×100%＝8.8235%，四捨五入 8.8%</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（126,000－111,000）÷111,000×100%＝15,000÷111,000×100%＝13.5135%，四捨五入 13.5%</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兩年示範差額為正；這是收款代理值，尚非正式認列收入</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2023 至 2025 累計變化</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（2025 值－2023 值）÷2023 值×100%</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會員：（54－42）÷42＝28.5714%，四捨五入 28.6%；淨收款：（126,000－102,000）÷102,000＝23.5294%，四捨五入 23.5%</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只作三年端點描述，不能代替逐年檢查</w:t>
            </w:r>
          </w:p>
        </w:tc>
      </w:tr>
    </w:tbl>
    <w:p>
      <w:pPr>
        <w:spacing w:after="40" w:before="0"/>
      </w:pPr>
    </w:p>
    <w:p>
      <w:r>
        <w:rPr>
          <w:rFonts w:ascii="Microsoft JhengHei" w:hAnsi="Microsoft JhengHei" w:eastAsia="Microsoft JhengHei"/>
          <w:b w:val="0"/>
        </w:rPr>
        <w:t>百分比以未四捨五入的原始商數計算，最後一步才四捨五入至小數一位。若前一年基數為 0，年增率標示 N/A，另報告絕對差額；不得以 0%、無限大或任意很小的基數代替。若基數缺漏、負數、跨年重分類或口徑改變，必須先列例外並經權責角色確認可比性。</w:t>
      </w:r>
    </w:p>
    <w:p>
      <w:pPr>
        <w:pStyle w:val="Heading1"/>
      </w:pPr>
      <w:r>
        <w:rPr>
          <w:rFonts w:ascii="Microsoft JhengHei" w:hAnsi="Microsoft JhengHei" w:eastAsia="Microsoft JhengHei"/>
          <w:b w:val="0"/>
        </w:rPr>
        <w:t>6 趨勢 差異與證據解讀</w:t>
      </w:r>
    </w:p>
    <w:tbl>
      <w:tblPr>
        <w:tblStyle w:val="TableGrid"/>
        <w:tblW w:type="auto" w:w="0"/>
        <w:jc w:val="center"/>
        <w:tblLayout w:type="fixed"/>
        <w:tblLook w:firstColumn="1" w:firstRow="1" w:lastColumn="0" w:lastRow="0" w:noHBand="0" w:noVBand="1" w:val="04A0"/>
        <w:tblBorders>
          <w:top w:val="single" w:sz="4" w:space="0" w:color="B8C5CC"/>
          <w:left w:val="single" w:sz="4" w:space="0" w:color="B8C5CC"/>
          <w:bottom w:val="single" w:sz="4" w:space="0" w:color="B8C5CC"/>
          <w:right w:val="single" w:sz="4" w:space="0" w:color="B8C5CC"/>
          <w:insideH w:val="single" w:sz="4" w:space="0" w:color="B8C5CC"/>
          <w:insideV w:val="single" w:sz="4" w:space="0" w:color="B8C5CC"/>
        </w:tblBorders>
      </w:tblPr>
      <w:tblGrid>
        <w:gridCol w:w="1473"/>
        <w:gridCol w:w="1473"/>
        <w:gridCol w:w="1473"/>
        <w:gridCol w:w="1473"/>
        <w:gridCol w:w="1473"/>
        <w:gridCol w:w="1473"/>
        <w:gridCol w:w="1473"/>
      </w:tblGrid>
      <w:tr>
        <w:trPr>
          <w:cantSplit/>
          <w:tblHeader w:val="true"/>
        </w:trPr>
        <w:tc>
          <w:tcPr>
            <w:tcW w:type="dxa" w:w="1200"/>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年度</w:t>
            </w:r>
          </w:p>
        </w:tc>
        <w:tc>
          <w:tcPr>
            <w:tcW w:type="dxa" w:w="134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會員期末數</w:t>
            </w:r>
          </w:p>
        </w:tc>
        <w:tc>
          <w:tcPr>
            <w:tcW w:type="dxa" w:w="1470"/>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會員絕對變化</w:t>
            </w:r>
          </w:p>
        </w:tc>
        <w:tc>
          <w:tcPr>
            <w:tcW w:type="dxa" w:w="1470"/>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示範會員率</w:t>
            </w:r>
          </w:p>
        </w:tc>
        <w:tc>
          <w:tcPr>
            <w:tcW w:type="dxa" w:w="1680"/>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示範淨收款</w:t>
            </w:r>
          </w:p>
        </w:tc>
        <w:tc>
          <w:tcPr>
            <w:tcW w:type="dxa" w:w="1680"/>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收款絕對變化</w:t>
            </w:r>
          </w:p>
        </w:tc>
        <w:tc>
          <w:tcPr>
            <w:tcW w:type="dxa" w:w="1470"/>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示範淨收款率</w:t>
            </w:r>
          </w:p>
        </w:tc>
      </w:tr>
      <w:tr>
        <w:trPr>
          <w:cantSplit/>
        </w:trPr>
        <w:tc>
          <w:tcPr>
            <w:tcW w:type="dxa" w:w="1200"/>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2023</w:t>
            </w:r>
          </w:p>
        </w:tc>
        <w:tc>
          <w:tcPr>
            <w:tcW w:type="dxa" w:w="134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42</w:t>
            </w:r>
          </w:p>
        </w:tc>
        <w:tc>
          <w:tcPr>
            <w:tcW w:type="dxa" w:w="1470"/>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基準</w:t>
            </w:r>
          </w:p>
        </w:tc>
        <w:tc>
          <w:tcPr>
            <w:tcW w:type="dxa" w:w="1470"/>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N/A</w:t>
            </w:r>
          </w:p>
        </w:tc>
        <w:tc>
          <w:tcPr>
            <w:tcW w:type="dxa" w:w="1680"/>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NT$102,000</w:t>
            </w:r>
          </w:p>
        </w:tc>
        <w:tc>
          <w:tcPr>
            <w:tcW w:type="dxa" w:w="1680"/>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基準</w:t>
            </w:r>
          </w:p>
        </w:tc>
        <w:tc>
          <w:tcPr>
            <w:tcW w:type="dxa" w:w="1470"/>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N/A</w:t>
            </w:r>
          </w:p>
        </w:tc>
      </w:tr>
      <w:tr>
        <w:trPr>
          <w:cantSplit/>
        </w:trPr>
        <w:tc>
          <w:tcPr>
            <w:tcW w:type="dxa" w:w="1200"/>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2024</w:t>
            </w:r>
          </w:p>
        </w:tc>
        <w:tc>
          <w:tcPr>
            <w:tcW w:type="dxa" w:w="134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48</w:t>
            </w:r>
          </w:p>
        </w:tc>
        <w:tc>
          <w:tcPr>
            <w:tcW w:type="dxa" w:w="1470"/>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+6</w:t>
            </w:r>
          </w:p>
        </w:tc>
        <w:tc>
          <w:tcPr>
            <w:tcW w:type="dxa" w:w="1470"/>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+14.3%</w:t>
            </w:r>
          </w:p>
        </w:tc>
        <w:tc>
          <w:tcPr>
            <w:tcW w:type="dxa" w:w="1680"/>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NT$111,000</w:t>
            </w:r>
          </w:p>
        </w:tc>
        <w:tc>
          <w:tcPr>
            <w:tcW w:type="dxa" w:w="1680"/>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+NT$9,000</w:t>
            </w:r>
          </w:p>
        </w:tc>
        <w:tc>
          <w:tcPr>
            <w:tcW w:type="dxa" w:w="1470"/>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+8.8%</w:t>
            </w:r>
          </w:p>
        </w:tc>
      </w:tr>
      <w:tr>
        <w:trPr>
          <w:cantSplit/>
        </w:trPr>
        <w:tc>
          <w:tcPr>
            <w:tcW w:type="dxa" w:w="1200"/>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2025</w:t>
            </w:r>
          </w:p>
        </w:tc>
        <w:tc>
          <w:tcPr>
            <w:tcW w:type="dxa" w:w="134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54</w:t>
            </w:r>
          </w:p>
        </w:tc>
        <w:tc>
          <w:tcPr>
            <w:tcW w:type="dxa" w:w="1470"/>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+6</w:t>
            </w:r>
          </w:p>
        </w:tc>
        <w:tc>
          <w:tcPr>
            <w:tcW w:type="dxa" w:w="1470"/>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+12.5%</w:t>
            </w:r>
          </w:p>
        </w:tc>
        <w:tc>
          <w:tcPr>
            <w:tcW w:type="dxa" w:w="1680"/>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NT$126,000</w:t>
            </w:r>
          </w:p>
        </w:tc>
        <w:tc>
          <w:tcPr>
            <w:tcW w:type="dxa" w:w="1680"/>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+NT$15,000</w:t>
            </w:r>
          </w:p>
        </w:tc>
        <w:tc>
          <w:tcPr>
            <w:tcW w:type="dxa" w:w="1470"/>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+13.5%</w:t>
            </w:r>
          </w:p>
        </w:tc>
      </w:tr>
    </w:tbl>
    <w:p>
      <w:pPr>
        <w:spacing w:after="40" w:before="0"/>
      </w:pPr>
    </w:p>
    <w:p>
      <w:r>
        <w:rPr>
          <w:rFonts w:ascii="Microsoft JhengHei" w:hAnsi="Microsoft JhengHei" w:eastAsia="Microsoft JhengHei"/>
          <w:b w:val="0"/>
        </w:rPr>
        <w:t>在這組合成數據中，會員數每年增加 6 人，但成長率從 14.3% 降至 12.5%，原因是相同的絕對增加數套用在較大的前一年分母。這表示百分比下降不等於會員減少。示範淨收款逐年增加，2025 年增額較大；此差異可能受收款人數、費率、退款時點、欠費回收及期間歸屬影響，不能只看期末會員人數推定原因。</w:t>
      </w:r>
    </w:p>
    <w:p>
      <w:r>
        <w:rPr>
          <w:rFonts w:ascii="Microsoft JhengHei" w:hAnsi="Microsoft JhengHei" w:eastAsia="Microsoft JhengHei"/>
          <w:b w:val="0"/>
        </w:rPr>
        <w:t>會員組成也改變：一般會員由 30 增至 40，支持會員由 8 增至 10，示範免繳類別維持 4。若不同類別的費率、資格或服務不同，應分層呈現，不應僅以單一平均費率推估會費。此案例並未提供真實會員招募原因、退出原因、催收結果或外部市場因素，因此不得把增長歸因於訓練、課程、活動或任何特定政策。</w:t>
      </w:r>
    </w:p>
    <w:p>
      <w:r>
        <w:rPr>
          <w:rFonts w:ascii="Microsoft JhengHei" w:hAnsi="Microsoft JhengHei" w:eastAsia="Microsoft JhengHei"/>
          <w:b w:val="0"/>
        </w:rPr>
        <w:t>收入證據與會員證據須分別評估。即使會員數上升，欠費、減免或退款仍可能使收入不升；即使收入上升，也可能來自調價、跨年補收或會計分類改變，而非會員數增加。正式分析至少同時展示兩個年度序列、年度差額、增長率、來源口徑與未調節差異。</w:t>
      </w:r>
    </w:p>
    <w:p>
      <w:pPr>
        <w:pStyle w:val="Heading2"/>
      </w:pPr>
      <w:r>
        <w:rPr>
          <w:rFonts w:ascii="Microsoft JhengHei" w:hAnsi="Microsoft JhengHei" w:eastAsia="Microsoft JhengHei"/>
          <w:b w:val="0"/>
        </w:rPr>
        <w:t>6 1 可能差異的排序矩陣</w:t>
      </w:r>
    </w:p>
    <w:tbl>
      <w:tblPr>
        <w:tblStyle w:val="TableGrid"/>
        <w:tblW w:type="auto" w:w="0"/>
        <w:jc w:val="center"/>
        <w:tblLayout w:type="fixed"/>
        <w:tblLook w:firstColumn="1" w:firstRow="1" w:lastColumn="0" w:lastRow="0" w:noHBand="0" w:noVBand="1" w:val="04A0"/>
        <w:tblBorders>
          <w:top w:val="single" w:sz="4" w:space="0" w:color="B8C5CC"/>
          <w:left w:val="single" w:sz="4" w:space="0" w:color="B8C5CC"/>
          <w:bottom w:val="single" w:sz="4" w:space="0" w:color="B8C5CC"/>
          <w:right w:val="single" w:sz="4" w:space="0" w:color="B8C5CC"/>
          <w:insideH w:val="single" w:sz="4" w:space="0" w:color="B8C5CC"/>
          <w:insideV w:val="single" w:sz="4" w:space="0" w:color="B8C5CC"/>
        </w:tblBorders>
      </w:tblPr>
      <w:tblGrid>
        <w:gridCol w:w="2062"/>
        <w:gridCol w:w="2062"/>
        <w:gridCol w:w="2062"/>
        <w:gridCol w:w="2062"/>
        <w:gridCol w:w="2062"/>
      </w:tblGrid>
      <w:tr>
        <w:trPr>
          <w:cantSplit/>
          <w:tblHeader w:val="true"/>
        </w:trPr>
        <w:tc>
          <w:tcPr>
            <w:tcW w:type="dxa" w:w="1156"/>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優先</w:t>
            </w:r>
          </w:p>
        </w:tc>
        <w:tc>
          <w:tcPr>
            <w:tcW w:type="dxa" w:w="2289"/>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觀察到的情況</w:t>
            </w:r>
          </w:p>
        </w:tc>
        <w:tc>
          <w:tcPr>
            <w:tcW w:type="dxa" w:w="2289"/>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先查的原因</w:t>
            </w:r>
          </w:p>
        </w:tc>
        <w:tc>
          <w:tcPr>
            <w:tcW w:type="dxa" w:w="2289"/>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必要證據</w:t>
            </w:r>
          </w:p>
        </w:tc>
        <w:tc>
          <w:tcPr>
            <w:tcW w:type="dxa" w:w="2289"/>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處理方式／停止條件</w:t>
            </w:r>
          </w:p>
        </w:tc>
      </w:tr>
      <w:tr>
        <w:trPr>
          <w:cantSplit/>
        </w:trPr>
        <w:tc>
          <w:tcPr>
            <w:tcW w:type="dxa" w:w="115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1</w:t>
            </w:r>
          </w:p>
        </w:tc>
        <w:tc>
          <w:tcPr>
            <w:tcW w:type="dxa" w:w="2289"/>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會員名冊期初＋新增－退出不等於期末</w:t>
            </w:r>
          </w:p>
        </w:tc>
        <w:tc>
          <w:tcPr>
            <w:tcW w:type="dxa" w:w="2289"/>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截止日、重複會員、轉類、補登或資格生效日</w:t>
            </w:r>
          </w:p>
        </w:tc>
        <w:tc>
          <w:tcPr>
            <w:tcW w:type="dxa" w:w="2289"/>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凍結名冊、入退會和轉類紀錄、差異清單</w:t>
            </w:r>
          </w:p>
        </w:tc>
        <w:tc>
          <w:tcPr>
            <w:tcW w:type="dxa" w:w="2289"/>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差額未解釋前不發會員趨勢結論</w:t>
            </w:r>
          </w:p>
        </w:tc>
      </w:tr>
      <w:tr>
        <w:trPr>
          <w:cantSplit/>
        </w:trPr>
        <w:tc>
          <w:tcPr>
            <w:tcW w:type="dxa" w:w="1156"/>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w:t>
            </w:r>
          </w:p>
        </w:tc>
        <w:tc>
          <w:tcPr>
            <w:tcW w:type="dxa" w:w="2289"/>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收款明細合計不等於總帳或銀行入帳</w:t>
            </w:r>
          </w:p>
        </w:tc>
        <w:tc>
          <w:tcPr>
            <w:tcW w:type="dxa" w:w="2289"/>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漏記、錯年度、撤銷、收款批次或總帳重分類</w:t>
            </w:r>
          </w:p>
        </w:tc>
        <w:tc>
          <w:tcPr>
            <w:tcW w:type="dxa" w:w="2289"/>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收據／銀行／現金簿、總帳、調節表</w:t>
            </w:r>
          </w:p>
        </w:tc>
        <w:tc>
          <w:tcPr>
            <w:tcW w:type="dxa" w:w="2289"/>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由不同角色覆核；重大差額未解前不稱收入增長</w:t>
            </w:r>
          </w:p>
        </w:tc>
      </w:tr>
      <w:tr>
        <w:trPr>
          <w:cantSplit/>
        </w:trPr>
        <w:tc>
          <w:tcPr>
            <w:tcW w:type="dxa" w:w="115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3</w:t>
            </w:r>
          </w:p>
        </w:tc>
        <w:tc>
          <w:tcPr>
            <w:tcW w:type="dxa" w:w="2289"/>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會員數增加但會費數值下降</w:t>
            </w:r>
          </w:p>
        </w:tc>
        <w:tc>
          <w:tcPr>
            <w:tcW w:type="dxa" w:w="2289"/>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欠費、減免、退款、類別結構改變、會計口徑不同</w:t>
            </w:r>
          </w:p>
        </w:tc>
        <w:tc>
          <w:tcPr>
            <w:tcW w:type="dxa" w:w="2289"/>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分類會員表、應收、退款及費率版本</w:t>
            </w:r>
          </w:p>
        </w:tc>
        <w:tc>
          <w:tcPr>
            <w:tcW w:type="dxa" w:w="2289"/>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分開報告兩項指標並說明原因未知</w:t>
            </w:r>
          </w:p>
        </w:tc>
      </w:tr>
      <w:tr>
        <w:trPr>
          <w:cantSplit/>
        </w:trPr>
        <w:tc>
          <w:tcPr>
            <w:tcW w:type="dxa" w:w="1156"/>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4</w:t>
            </w:r>
          </w:p>
        </w:tc>
        <w:tc>
          <w:tcPr>
            <w:tcW w:type="dxa" w:w="2289"/>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會費增加但會員數未增加</w:t>
            </w:r>
          </w:p>
        </w:tc>
        <w:tc>
          <w:tcPr>
            <w:tcW w:type="dxa" w:w="2289"/>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調價、補收、跨年認列、一次性款或分類錯誤</w:t>
            </w:r>
          </w:p>
        </w:tc>
        <w:tc>
          <w:tcPr>
            <w:tcW w:type="dxa" w:w="2289"/>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制度版本、總帳科目映射、收款歸屬</w:t>
            </w:r>
          </w:p>
        </w:tc>
        <w:tc>
          <w:tcPr>
            <w:tcW w:type="dxa" w:w="2289"/>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排除非可比項或重列比較年度，留存覆核依據</w:t>
            </w:r>
          </w:p>
        </w:tc>
      </w:tr>
      <w:tr>
        <w:trPr>
          <w:cantSplit/>
        </w:trPr>
        <w:tc>
          <w:tcPr>
            <w:tcW w:type="dxa" w:w="1156"/>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5</w:t>
            </w:r>
          </w:p>
        </w:tc>
        <w:tc>
          <w:tcPr>
            <w:tcW w:type="dxa" w:w="2289"/>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同年度率被多種版本引用</w:t>
            </w:r>
          </w:p>
        </w:tc>
        <w:tc>
          <w:tcPr>
            <w:tcW w:type="dxa" w:w="2289"/>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未鎖定底稿版本或分母口徑漂移</w:t>
            </w:r>
          </w:p>
        </w:tc>
        <w:tc>
          <w:tcPr>
            <w:tcW w:type="dxa" w:w="2289"/>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版本記錄、資料擷取時間、計算檔 SHA</w:t>
            </w:r>
          </w:p>
        </w:tc>
        <w:tc>
          <w:tcPr>
            <w:tcW w:type="dxa" w:w="2289"/>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停止使用舊版摘要，指定單一經覆核版本</w:t>
            </w:r>
          </w:p>
        </w:tc>
      </w:tr>
    </w:tbl>
    <w:p>
      <w:pPr>
        <w:spacing w:after="40" w:before="0"/>
      </w:pPr>
    </w:p>
    <w:p>
      <w:pPr>
        <w:pStyle w:val="Heading1"/>
      </w:pPr>
      <w:r>
        <w:rPr>
          <w:rFonts w:ascii="Microsoft JhengHei" w:hAnsi="Microsoft JhengHei" w:eastAsia="Microsoft JhengHei"/>
          <w:b w:val="0"/>
        </w:rPr>
        <w:t>7 會員與會費核對流程</w:t>
      </w:r>
    </w:p>
    <w:p>
      <w:r>
        <w:rPr>
          <w:rFonts w:ascii="Microsoft JhengHei" w:hAnsi="Microsoft JhengHei" w:eastAsia="Microsoft JhengHei"/>
          <w:b w:val="0"/>
        </w:rPr>
        <w:t>本流程是內部操作示範，不代表協會已採用或核准。正式實施前應由協會權責角色確認資料權限、保存期限、會計口徑及會員資格規則。</w:t>
      </w:r>
    </w:p>
    <w:tbl>
      <w:tblPr>
        <w:tblStyle w:val="TableGrid"/>
        <w:tblW w:type="auto" w:w="0"/>
        <w:jc w:val="center"/>
        <w:tblLayout w:type="fixed"/>
        <w:tblLook w:firstColumn="1" w:firstRow="1" w:lastColumn="0" w:lastRow="0" w:noHBand="0" w:noVBand="1" w:val="04A0"/>
        <w:tblBorders>
          <w:top w:val="single" w:sz="4" w:space="0" w:color="B8C5CC"/>
          <w:left w:val="single" w:sz="4" w:space="0" w:color="B8C5CC"/>
          <w:bottom w:val="single" w:sz="4" w:space="0" w:color="B8C5CC"/>
          <w:right w:val="single" w:sz="4" w:space="0" w:color="B8C5CC"/>
          <w:insideH w:val="single" w:sz="4" w:space="0" w:color="B8C5CC"/>
          <w:insideV w:val="single" w:sz="4" w:space="0" w:color="B8C5CC"/>
        </w:tblBorders>
      </w:tblPr>
      <w:tblGrid>
        <w:gridCol w:w="2062"/>
        <w:gridCol w:w="2062"/>
        <w:gridCol w:w="2062"/>
        <w:gridCol w:w="2062"/>
        <w:gridCol w:w="2062"/>
      </w:tblGrid>
      <w:tr>
        <w:trPr>
          <w:cantSplit/>
          <w:tblHeader w:val="true"/>
        </w:trPr>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步驟</w:t>
            </w:r>
          </w:p>
        </w:tc>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負責角色（佔位）</w:t>
            </w:r>
          </w:p>
        </w:tc>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輸入</w:t>
            </w:r>
          </w:p>
        </w:tc>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操作與控制</w:t>
            </w:r>
          </w:p>
        </w:tc>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輸出／停止條件</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1. 鎖定年度與規則</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會員承辦角色、財務承辦角色</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會員制度版本、會計政策版本、年度截止日</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寫下適用版本、生效期間及任何變動；不得先看結果再改口徑</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有核准版本識別才進入取數；版本未知則標記 HOLD</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 擷取並去重名冊</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會員承辦角色</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年末名冊與期間內入退／轉類紀錄</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對個資採最小必要欄位；以受控唯一鍵去重；保留原始唯讀匯出與擷取時間</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產生類別期末數與差異清單；名冊未凍結則 HOLD</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3. 彙總會費收付款</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財務承辦角色</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收款、退款、折讓、減免、應收及總帳</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依原始憑證和核准科目分類；把收款年度與會員資格年度分開</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產生可追到憑證的控制總額；退款或跨年款未分類則 HOLD</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4. 雙向調節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兩個不同權責角色</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名冊變動表、收付款明細、總帳、差異表</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名冊期初＋新增－退出＝期末；收款明細－退款＝示範淨額；正式收入須另與總帳一致</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差異逐筆列鍵、金額、原因、責任與期限；重大差異未結不進結論</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5. 重算年度指標</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分析承辦角色</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凍結後的年度彙總表</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使用同一公式及分母；缺值標 UNKNOWN，零分母標 N/A；保留未四捨五入值</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公式可由第二人獨立重算，公式與原始控制總額一致</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6. 形成結論及限度</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報告承辦角色</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重算表、差異清單、證據等級</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會員數、正式收入分段結論；列出因果不能判定的情況</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結論只覆蓋已驗證期間和口徑，不得超出證據</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7. 覆核與封存</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權責主管角色、資料保管角色</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完整報告、來源索引、版本、例外</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檢查權限、個資遮罩、來源與公式；決定內部發布或 HOLD</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記錄真實覆核者、日期、版本與核准原件；沒有實際簽核不得填成已核准</w:t>
            </w:r>
          </w:p>
        </w:tc>
      </w:tr>
    </w:tbl>
    <w:p>
      <w:pPr>
        <w:spacing w:after="40" w:before="0"/>
      </w:pPr>
    </w:p>
    <w:p>
      <w:pPr>
        <w:pStyle w:val="Heading2"/>
      </w:pPr>
      <w:r>
        <w:rPr>
          <w:rFonts w:ascii="Microsoft JhengHei" w:hAnsi="Microsoft JhengHei" w:eastAsia="Microsoft JhengHei"/>
          <w:b w:val="0"/>
        </w:rPr>
        <w:t>7 1 權限與資料保護</w:t>
      </w:r>
    </w:p>
    <w:p>
      <w:r>
        <w:rPr>
          <w:rFonts w:ascii="Microsoft JhengHei" w:hAnsi="Microsoft JhengHei" w:eastAsia="Microsoft JhengHei"/>
          <w:b w:val="0"/>
        </w:rPr>
        <w:t>會員名冊含可識別個人資料，會費憑證及帳簿可能涉及財務或敏感資料。本報告公開／跨部門版本只保留必要的彙總數和受控代碼，不放入姓名、身分證字號、住址、電話、銀行帳號、完整收據或不必要的個別繳費狀態。原件留在協會正式權限位置，由具職務需要的人員調閱。每次匯出記錄來源、擷取者角色、時間、期間、遮罩方式和檔案雜湊；未經授權不得上傳公開 GitHub。</w:t>
      </w:r>
    </w:p>
    <w:p>
      <w:pPr>
        <w:pStyle w:val="Heading1"/>
      </w:pPr>
      <w:r>
        <w:rPr>
          <w:rFonts w:ascii="Microsoft JhengHei" w:hAnsi="Microsoft JhengHei" w:eastAsia="Microsoft JhengHei"/>
          <w:b w:val="0"/>
        </w:rPr>
        <w:t>8 已填妥的合成覆核紀錄</w:t>
      </w:r>
    </w:p>
    <w:p>
      <w:r>
        <w:rPr>
          <w:rFonts w:ascii="Microsoft JhengHei" w:hAnsi="Microsoft JhengHei" w:eastAsia="Microsoft JhengHei"/>
          <w:b w:val="0"/>
        </w:rPr>
        <w:t>以下表格展示一筆完整的 SAMPLE／SYNTHETIC 年度覆核，不是協會會議、核准或真實人員簽核。角色皆為佔位稱呼，沒有真人姓名或簽名。</w:t>
      </w:r>
    </w:p>
    <w:tbl>
      <w:tblPr>
        <w:tblStyle w:val="TableGrid"/>
        <w:tblW w:type="auto" w:w="0"/>
        <w:jc w:val="center"/>
        <w:tblLayout w:type="fixed"/>
        <w:tblLook w:firstColumn="1" w:firstRow="1" w:lastColumn="0" w:lastRow="0" w:noHBand="0" w:noVBand="1" w:val="04A0"/>
        <w:tblBorders>
          <w:top w:val="single" w:sz="4" w:space="0" w:color="B8C5CC"/>
          <w:left w:val="single" w:sz="4" w:space="0" w:color="B8C5CC"/>
          <w:bottom w:val="single" w:sz="4" w:space="0" w:color="B8C5CC"/>
          <w:right w:val="single" w:sz="4" w:space="0" w:color="B8C5CC"/>
          <w:insideH w:val="single" w:sz="4" w:space="0" w:color="B8C5CC"/>
          <w:insideV w:val="single" w:sz="4" w:space="0" w:color="B8C5CC"/>
        </w:tblBorders>
      </w:tblPr>
      <w:tblGrid>
        <w:gridCol w:w="5155"/>
        <w:gridCol w:w="5155"/>
      </w:tblGrid>
      <w:tr>
        <w:trPr>
          <w:cantSplit/>
          <w:tblHeader w:val="true"/>
        </w:trPr>
        <w:tc>
          <w:tcPr>
            <w:tcW w:type="dxa" w:w="5155"/>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欄位</w:t>
            </w:r>
          </w:p>
        </w:tc>
        <w:tc>
          <w:tcPr>
            <w:tcW w:type="dxa" w:w="5155"/>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合成示例值</w:t>
            </w:r>
          </w:p>
        </w:tc>
      </w:tr>
      <w:tr>
        <w:trPr>
          <w:cantSplit/>
        </w:trPr>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工作案例</w:t>
            </w:r>
          </w:p>
        </w:tc>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SAMPLE-0134-2025 年末會員及會費資料調節</w:t>
            </w:r>
          </w:p>
        </w:tc>
      </w:tr>
      <w:tr>
        <w:trPr>
          <w:cantSplit/>
        </w:trPr>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覆蓋期間</w:t>
            </w:r>
          </w:p>
        </w:tc>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合成年度 2025-01-01 至 2025-12-31；此期間為演算假設</w:t>
            </w:r>
          </w:p>
        </w:tc>
      </w:tr>
      <w:tr>
        <w:trPr>
          <w:cantSplit/>
        </w:trPr>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會員口徑</w:t>
            </w:r>
          </w:p>
        </w:tc>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年末仍符合示範會員資格規則的唯一會員；規則未經協會核准</w:t>
            </w:r>
          </w:p>
        </w:tc>
      </w:tr>
      <w:tr>
        <w:trPr>
          <w:cantSplit/>
        </w:trPr>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名冊調節</w:t>
            </w:r>
          </w:p>
        </w:tc>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期初 48＋新增 10－退出 4＝期末 54；一般會員 36＋6－2＝40，支持會員 8＋3－1＝10，示範免繳 4＋1－1＝4</w:t>
            </w:r>
          </w:p>
        </w:tc>
      </w:tr>
      <w:tr>
        <w:trPr>
          <w:cantSplit/>
        </w:trPr>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會費示範口徑</w:t>
            </w:r>
          </w:p>
        </w:tc>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當年示範收款減示範退款；不等同正式認列收入</w:t>
            </w:r>
          </w:p>
        </w:tc>
      </w:tr>
      <w:tr>
        <w:trPr>
          <w:cantSplit/>
        </w:trPr>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收款調節</w:t>
            </w:r>
          </w:p>
        </w:tc>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一般 38×NT$3,000＝NT$114,000；支持 9×NT$1,500＝NT$13,500；合計 NT$127,500；示範退款 NT$1,500；示範淨收款 NT$126,000</w:t>
            </w:r>
          </w:p>
        </w:tc>
      </w:tr>
      <w:tr>
        <w:trPr>
          <w:cantSplit/>
        </w:trPr>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差異結果</w:t>
            </w:r>
          </w:p>
        </w:tc>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合成表內算術差異 0；與真實名冊、銀行、憑證及總帳的差異 UNKNOWN，因未取得真實原件</w:t>
            </w:r>
          </w:p>
        </w:tc>
      </w:tr>
      <w:tr>
        <w:trPr>
          <w:cantSplit/>
        </w:trPr>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會員年增率</w:t>
            </w:r>
          </w:p>
        </w:tc>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（54－48）÷48＝12.5%</w:t>
            </w:r>
          </w:p>
        </w:tc>
      </w:tr>
      <w:tr>
        <w:trPr>
          <w:cantSplit/>
        </w:trPr>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示範淨收款年增率</w:t>
            </w:r>
          </w:p>
        </w:tc>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（126,000－111,000）÷111,000＝13.5135%，呈現 13.5%</w:t>
            </w:r>
          </w:p>
        </w:tc>
      </w:tr>
      <w:tr>
        <w:trPr>
          <w:cantSplit/>
        </w:trPr>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結論</w:t>
            </w:r>
          </w:p>
        </w:tc>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合成案例兩項均逐年增加；不得推論原始點協會實際會員或收入增加</w:t>
            </w:r>
          </w:p>
        </w:tc>
      </w:tr>
      <w:tr>
        <w:trPr>
          <w:cantSplit/>
        </w:trPr>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覆核者</w:t>
            </w:r>
          </w:p>
        </w:tc>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SAMPLE「第二覆核角色」佔位，不是真實覆核者</w:t>
            </w:r>
          </w:p>
        </w:tc>
      </w:tr>
      <w:tr>
        <w:trPr>
          <w:cantSplit/>
        </w:trPr>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覆核時間</w:t>
            </w:r>
          </w:p>
        </w:tc>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SAMPLE「2026-01-20」佔位日期，不是實際作業或核准日期</w:t>
            </w:r>
          </w:p>
        </w:tc>
      </w:tr>
      <w:tr>
        <w:trPr>
          <w:cantSplit/>
        </w:trPr>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例外處理</w:t>
            </w:r>
          </w:p>
        </w:tc>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若換入 REAL 後名冊或總帳不平，狀態改為 HOLD；不可沿用此合成結論</w:t>
            </w:r>
          </w:p>
        </w:tc>
      </w:tr>
      <w:tr>
        <w:trPr>
          <w:cantSplit/>
        </w:trPr>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版本封存</w:t>
            </w:r>
          </w:p>
        </w:tc>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SAMPLE「R01-0134-2025-demo」佔位版本；實際版本、檔案位置與 SHA 尚未建立</w:t>
            </w:r>
          </w:p>
        </w:tc>
      </w:tr>
    </w:tbl>
    <w:p>
      <w:pPr>
        <w:spacing w:after="40" w:before="0"/>
      </w:pPr>
    </w:p>
    <w:p>
      <w:pPr>
        <w:pStyle w:val="Heading1"/>
      </w:pPr>
      <w:r>
        <w:rPr>
          <w:rFonts w:ascii="Microsoft JhengHei" w:hAnsi="Microsoft JhengHei" w:eastAsia="Microsoft JhengHei"/>
          <w:b w:val="0"/>
        </w:rPr>
        <w:t>9 分析發現及可執行管理建議</w:t>
      </w:r>
    </w:p>
    <w:p>
      <w:r>
        <w:rPr>
          <w:rFonts w:ascii="Microsoft JhengHei" w:hAnsi="Microsoft JhengHei" w:eastAsia="Microsoft JhengHei"/>
          <w:b w:val="0"/>
        </w:rPr>
        <w:t>本節建議依合成案例展示如何從數字形成工作，不是協會已決議或已執行的方案。</w:t>
      </w:r>
    </w:p>
    <w:tbl>
      <w:tblPr>
        <w:tblStyle w:val="TableGrid"/>
        <w:tblW w:type="auto" w:w="0"/>
        <w:jc w:val="center"/>
        <w:tblLayout w:type="fixed"/>
        <w:tblLook w:firstColumn="1" w:firstRow="1" w:lastColumn="0" w:lastRow="0" w:noHBand="0" w:noVBand="1" w:val="04A0"/>
        <w:tblBorders>
          <w:top w:val="single" w:sz="4" w:space="0" w:color="B8C5CC"/>
          <w:left w:val="single" w:sz="4" w:space="0" w:color="B8C5CC"/>
          <w:bottom w:val="single" w:sz="4" w:space="0" w:color="B8C5CC"/>
          <w:right w:val="single" w:sz="4" w:space="0" w:color="B8C5CC"/>
          <w:insideH w:val="single" w:sz="4" w:space="0" w:color="B8C5CC"/>
          <w:insideV w:val="single" w:sz="4" w:space="0" w:color="B8C5CC"/>
        </w:tblBorders>
      </w:tblPr>
      <w:tblGrid>
        <w:gridCol w:w="1718"/>
        <w:gridCol w:w="1718"/>
        <w:gridCol w:w="1718"/>
        <w:gridCol w:w="1718"/>
        <w:gridCol w:w="1718"/>
        <w:gridCol w:w="1718"/>
      </w:tblGrid>
      <w:tr>
        <w:trPr>
          <w:cantSplit/>
          <w:tblHeader w:val="true"/>
        </w:trPr>
        <w:tc>
          <w:tcPr>
            <w:tcW w:type="dxa" w:w="1718"/>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發現</w:t>
            </w:r>
          </w:p>
        </w:tc>
        <w:tc>
          <w:tcPr>
            <w:tcW w:type="dxa" w:w="1718"/>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合成證據</w:t>
            </w:r>
          </w:p>
        </w:tc>
        <w:tc>
          <w:tcPr>
            <w:tcW w:type="dxa" w:w="1718"/>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管理含義</w:t>
            </w:r>
          </w:p>
        </w:tc>
        <w:tc>
          <w:tcPr>
            <w:tcW w:type="dxa" w:w="1718"/>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建議動作</w:t>
            </w:r>
          </w:p>
        </w:tc>
        <w:tc>
          <w:tcPr>
            <w:tcW w:type="dxa" w:w="1718"/>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負責角色佔位</w:t>
            </w:r>
          </w:p>
        </w:tc>
        <w:tc>
          <w:tcPr>
            <w:tcW w:type="dxa" w:w="1718"/>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完成條件</w:t>
            </w:r>
          </w:p>
        </w:tc>
      </w:tr>
      <w:tr>
        <w:trPr>
          <w:cantSplit/>
        </w:trPr>
        <w:tc>
          <w:tcPr>
            <w:tcW w:type="dxa" w:w="171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期末會員數連續兩年增加</w:t>
            </w:r>
          </w:p>
        </w:tc>
        <w:tc>
          <w:tcPr>
            <w:tcW w:type="dxa" w:w="171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42→48→54，年增 +6、+6</w:t>
            </w:r>
          </w:p>
        </w:tc>
        <w:tc>
          <w:tcPr>
            <w:tcW w:type="dxa" w:w="171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絕對增加一致，百分比因分母變大而由 14.3% 降至 12.5%</w:t>
            </w:r>
          </w:p>
        </w:tc>
        <w:tc>
          <w:tcPr>
            <w:tcW w:type="dxa" w:w="171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REAL 替換時依會員類別與有效日重算，另列入會及退出</w:t>
            </w:r>
          </w:p>
        </w:tc>
        <w:tc>
          <w:tcPr>
            <w:tcW w:type="dxa" w:w="171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會員資料管理角色</w:t>
            </w:r>
          </w:p>
        </w:tc>
        <w:tc>
          <w:tcPr>
            <w:tcW w:type="dxa" w:w="171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名冊、變動紀錄與年度末合計可勾稽</w:t>
            </w:r>
          </w:p>
        </w:tc>
      </w:tr>
      <w:tr>
        <w:trPr>
          <w:cantSplit/>
        </w:trPr>
        <w:tc>
          <w:tcPr>
            <w:tcW w:type="dxa" w:w="171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示範淨收款連續增加，但收款人數低於有效會員</w:t>
            </w:r>
          </w:p>
        </w:tc>
        <w:tc>
          <w:tcPr>
            <w:tcW w:type="dxa" w:w="171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NT$102,000→111,000→126,000；2024 有 2 位、2025 有 3 位示範欠費</w:t>
            </w:r>
          </w:p>
        </w:tc>
        <w:tc>
          <w:tcPr>
            <w:tcW w:type="dxa" w:w="171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會員存量、應收與現金收款須分開；單看會員數會高估收入</w:t>
            </w:r>
          </w:p>
        </w:tc>
        <w:tc>
          <w:tcPr>
            <w:tcW w:type="dxa" w:w="171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依真實欠費規則列應收、減免、催收與資格狀態；敏感個別清單留在受控原件</w:t>
            </w:r>
          </w:p>
        </w:tc>
        <w:tc>
          <w:tcPr>
            <w:tcW w:type="dxa" w:w="171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財務承辦角色與會員承辦角色</w:t>
            </w:r>
          </w:p>
        </w:tc>
        <w:tc>
          <w:tcPr>
            <w:tcW w:type="dxa" w:w="171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欠費控制總額與會員類別一致，個資不外流</w:t>
            </w:r>
          </w:p>
        </w:tc>
      </w:tr>
      <w:tr>
        <w:trPr>
          <w:cantSplit/>
        </w:trPr>
        <w:tc>
          <w:tcPr>
            <w:tcW w:type="dxa" w:w="171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會費收款代理值不等於認列收入</w:t>
            </w:r>
          </w:p>
        </w:tc>
        <w:tc>
          <w:tcPr>
            <w:tcW w:type="dxa" w:w="171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合成案例只計收款減退款</w:t>
            </w:r>
          </w:p>
        </w:tc>
        <w:tc>
          <w:tcPr>
            <w:tcW w:type="dxa" w:w="171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會計年度歸屬、預收及應收可能令正式收入不同</w:t>
            </w:r>
          </w:p>
        </w:tc>
        <w:tc>
          <w:tcPr>
            <w:tcW w:type="dxa" w:w="171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取得正式會計政策與總帳科目，另製「認列收入」調節欄</w:t>
            </w:r>
          </w:p>
        </w:tc>
        <w:tc>
          <w:tcPr>
            <w:tcW w:type="dxa" w:w="171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財務主管角色</w:t>
            </w:r>
          </w:p>
        </w:tc>
        <w:tc>
          <w:tcPr>
            <w:tcW w:type="dxa" w:w="1718"/>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報告口徑與核准政策及總帳一致</w:t>
            </w:r>
          </w:p>
        </w:tc>
      </w:tr>
      <w:tr>
        <w:trPr>
          <w:cantSplit/>
        </w:trPr>
        <w:tc>
          <w:tcPr>
            <w:tcW w:type="dxa" w:w="171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三年合成趨勢不支持因果結論</w:t>
            </w:r>
          </w:p>
        </w:tc>
        <w:tc>
          <w:tcPr>
            <w:tcW w:type="dxa" w:w="171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沒有會員增長原因或對照組資料</w:t>
            </w:r>
          </w:p>
        </w:tc>
        <w:tc>
          <w:tcPr>
            <w:tcW w:type="dxa" w:w="171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不能說訓練、課程或活動造成會員與收入增加</w:t>
            </w:r>
          </w:p>
        </w:tc>
        <w:tc>
          <w:tcPr>
            <w:tcW w:type="dxa" w:w="171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若管理者需要因果分析，另行定義介入、期間、資料與比較設計，不在本文件填補</w:t>
            </w:r>
          </w:p>
        </w:tc>
        <w:tc>
          <w:tcPr>
            <w:tcW w:type="dxa" w:w="171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研究／分析角色</w:t>
            </w:r>
          </w:p>
        </w:tc>
        <w:tc>
          <w:tcPr>
            <w:tcW w:type="dxa" w:w="1718"/>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有獨立設計及真實來源前只呈現描述統計</w:t>
            </w:r>
          </w:p>
        </w:tc>
      </w:tr>
    </w:tbl>
    <w:p>
      <w:pPr>
        <w:spacing w:after="40" w:before="0"/>
      </w:pPr>
    </w:p>
    <w:p>
      <w:pPr>
        <w:pStyle w:val="Heading1"/>
        <w:pageBreakBefore/>
      </w:pPr>
      <w:r>
        <w:rPr>
          <w:rFonts w:ascii="Microsoft JhengHei" w:hAnsi="Microsoft JhengHei" w:eastAsia="Microsoft JhengHei"/>
          <w:b w:val="0"/>
        </w:rPr>
        <w:t>10 年度追蹤表與停止條件</w:t>
      </w:r>
    </w:p>
    <w:tbl>
      <w:tblPr>
        <w:tblStyle w:val="TableGrid"/>
        <w:tblW w:type="auto" w:w="0"/>
        <w:jc w:val="center"/>
        <w:tblLayout w:type="fixed"/>
        <w:tblLook w:firstColumn="1" w:firstRow="1" w:lastColumn="0" w:lastRow="0" w:noHBand="0" w:noVBand="1" w:val="04A0"/>
        <w:tblBorders>
          <w:top w:val="single" w:sz="4" w:space="0" w:color="B8C5CC"/>
          <w:left w:val="single" w:sz="4" w:space="0" w:color="B8C5CC"/>
          <w:bottom w:val="single" w:sz="4" w:space="0" w:color="B8C5CC"/>
          <w:right w:val="single" w:sz="4" w:space="0" w:color="B8C5CC"/>
          <w:insideH w:val="single" w:sz="4" w:space="0" w:color="B8C5CC"/>
          <w:insideV w:val="single" w:sz="4" w:space="0" w:color="B8C5CC"/>
        </w:tblBorders>
      </w:tblPr>
      <w:tblGrid>
        <w:gridCol w:w="2062"/>
        <w:gridCol w:w="2062"/>
        <w:gridCol w:w="2062"/>
        <w:gridCol w:w="2062"/>
        <w:gridCol w:w="2062"/>
      </w:tblGrid>
      <w:tr>
        <w:trPr>
          <w:cantSplit/>
          <w:tblHeader w:val="true"/>
        </w:trPr>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追蹤欄位</w:t>
            </w:r>
          </w:p>
        </w:tc>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計算／檢查</w:t>
            </w:r>
          </w:p>
        </w:tc>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範例門檻或判斷</w:t>
            </w:r>
          </w:p>
        </w:tc>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SAMPLE 結果</w:t>
            </w:r>
          </w:p>
        </w:tc>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若不符合怎麼做</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會員期末人數</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當年有效唯一會員數</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每年用同一資格規則；若要符合正向趨勢，逐年差額需大於 0</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42、48、54；合成趨勢逐年增加</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先核對名冊及資格，不得以會員活動人次替代</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會員名冊調節差額</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期初＋加入－退出－期末</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必須等於 0</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2024、2025 合成差額均為 0</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非 0 即 HOLD，列個別差異與責任人</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會費收入年度值</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經核准的會計口徑</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口徑一致且原始帳證可勾稽</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UNKNOWN；本件只有淨收款代理示範</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未確認政策或總帳差額未解，不下收入結論</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年度會費對帳差額</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明細控制總額與總帳／收款證據的差</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依核准政策；重大差額須解釋並有原件</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REAL 差額 UNKNOWN</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先調節，不以合成數字填補</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欠費與退款</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欠費筆數／金額、退款筆數／金額及期間</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依會員制度與會計政策</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合成例 2024 兩筆一般會員欠費；2025 三筆欠費；此為合成</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個資明細留存受控位置，只在本報告呈現必要彙總</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來源完整性</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文件、來源位置、擷取時間及版本</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每個年度欄位均有可追查來源</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REAL 來源未提供</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缺任何關鍵原件即標 UNKNOWN 或 HOLD</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覆核狀態</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角色分離、日期、版本及真實核准依據</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覆核者不同於主要彙整者，且具權限</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SAMPLE 角色佔位，未核准</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不填真實人名或日期前不得標覆核完成</w:t>
            </w:r>
          </w:p>
        </w:tc>
      </w:tr>
    </w:tbl>
    <w:p>
      <w:pPr>
        <w:spacing w:after="40" w:before="0"/>
      </w:pPr>
    </w:p>
    <w:p>
      <w:r>
        <w:rPr>
          <w:rFonts w:ascii="Microsoft JhengHei" w:hAnsi="Microsoft JhengHei" w:eastAsia="Microsoft JhengHei"/>
          <w:b w:val="0"/>
        </w:rPr>
        <w:t>可採用的報告停止條件：年度不足三個完整且可比較期；名冊資格規則未確認；期初、新增、退出與期末不平；會費收入科目或會計基礎未知；關鍵退款／跨年款未調節；個資處理未授權；或不同版本的來源數據互相衝突。遇到任一重大條件，結論應寫「尚無法判定」，並列出補件路徑、責任角色及解除條件。</w:t>
      </w:r>
    </w:p>
    <w:p>
      <w:pPr>
        <w:pStyle w:val="Heading1"/>
        <w:pageBreakBefore/>
      </w:pPr>
      <w:r>
        <w:rPr>
          <w:rFonts w:ascii="Microsoft JhengHei" w:hAnsi="Microsoft JhengHei" w:eastAsia="Microsoft JhengHei"/>
          <w:b w:val="0"/>
        </w:rPr>
        <w:t>11 REAL 替換清單及合成事實逐項登錄</w:t>
      </w:r>
    </w:p>
    <w:p>
      <w:r>
        <w:rPr>
          <w:rFonts w:ascii="Microsoft JhengHei" w:hAnsi="Microsoft JhengHei" w:eastAsia="Microsoft JhengHei"/>
          <w:b w:val="0"/>
        </w:rPr>
        <w:t>下表是對本文合成數據的逐項替換索引。所有鍵均指向本報告相應表格／段落；替換前應取得正式原件並保留原版本，不得直接把 SAMPLE 值改字為 REAL。來源位置未取得前保持 UNKNOWN。角色欄使用職務佔位，不代表協會實際人員。</w:t>
      </w:r>
    </w:p>
    <w:tbl>
      <w:tblPr>
        <w:tblStyle w:val="TableGrid"/>
        <w:tblW w:type="auto" w:w="0"/>
        <w:jc w:val="center"/>
        <w:tblLayout w:type="fixed"/>
        <w:tblLook w:firstColumn="1" w:firstRow="1" w:lastColumn="0" w:lastRow="0" w:noHBand="0" w:noVBand="1" w:val="04A0"/>
        <w:tblBorders>
          <w:top w:val="single" w:sz="4" w:space="0" w:color="B8C5CC"/>
          <w:left w:val="single" w:sz="4" w:space="0" w:color="B8C5CC"/>
          <w:bottom w:val="single" w:sz="4" w:space="0" w:color="B8C5CC"/>
          <w:right w:val="single" w:sz="4" w:space="0" w:color="B8C5CC"/>
          <w:insideH w:val="single" w:sz="4" w:space="0" w:color="B8C5CC"/>
          <w:insideV w:val="single" w:sz="4" w:space="0" w:color="B8C5CC"/>
        </w:tblBorders>
      </w:tblPr>
      <w:tblGrid>
        <w:gridCol w:w="2062"/>
        <w:gridCol w:w="2062"/>
        <w:gridCol w:w="2062"/>
        <w:gridCol w:w="2062"/>
        <w:gridCol w:w="2062"/>
      </w:tblGrid>
      <w:tr>
        <w:trPr>
          <w:cantSplit/>
          <w:tblHeader w:val="true"/>
        </w:trPr>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Register key</w:t>
            </w:r>
          </w:p>
        </w:tc>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合成事實／值</w:t>
            </w:r>
          </w:p>
        </w:tc>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本文定位</w:t>
            </w:r>
          </w:p>
        </w:tc>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真實替換原件／來源</w:t>
            </w:r>
          </w:p>
        </w:tc>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責任角色佔位</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SYN-0134-001</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合成涵蓋年度 2023 至 2025</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 節各表</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三個完整年度的正式會員名冊及帳簿</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會員與財務承辦角色</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SYN-0134-002</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年末基準日為 12 月 31 日</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3 節、5.1</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協會正式年度截止與資格規則</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會員資料管理角色</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SYN-0134-003</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2023 一般會員 30 人</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5.1、5.2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去識別年度末有效會員名冊</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會員資料管理角色</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SYN-0134-004</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2023 支持會員 8 人</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5.1、5.2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去識別年度末有效會員名冊</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會員資料管理角色</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SYN-0134-005</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2023 示範免繳類別 4 人</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5.1、5.2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正式類別名冊及免繳依據</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會員資料管理角色</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SYN-0134-006</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2023 期末合計 42 人</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5.1、5.2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去重名冊及期末總表</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會員資料管理角色</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SYN-0134-007</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2024 一般會員 36 人</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5.1、5.2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去識別年度末有效會員名冊</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會員資料管理角色</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SYN-0134-008</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2024 支持會員 8 人</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5.1、5.2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去識別年度末有效會員名冊</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會員資料管理角色</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SYN-0134-009</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2024 示範免繳類別 4 人</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5.1、5.2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正式類別名冊及免繳依據</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會員資料管理角色</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SYN-0134-010</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2024 期初會員 42 人</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5.2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2023 年凍結名冊</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會員資料管理角色</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SYN-0134-011</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2024 新入會 10 人</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5.2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2024 入會生效紀錄</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會員資料管理角色</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SYN-0134-012</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2024 退出／資格終止 4 人</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5.2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2024 退會或資格終止紀錄</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會員資料管理角色</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SYN-0134-013</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2024 期末會員 48 人</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5.1、5.2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去重名冊及變動調節表</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會員資料管理角色</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SYN-0134-014</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2024 年一般會員變動 30＋7－1＝36</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5.2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入會、退出與類別歷史紀錄</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會員資料管理角色</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SYN-0134-015</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2024 年支持會員變動 8＋2－2＝8</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5.2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入會、退出與類別歷史紀錄</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會員資料管理角色</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SYN-0134-016</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2024 年示範免繳類別變動 4＋1－1＝4</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5.2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入會、退出與類別歷史紀錄</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會員資料管理角色</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SYN-0134-017</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2025 一般會員 40 人</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5.1、5.2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去識別年度末有效會員名冊</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會員資料管理角色</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SYN-0134-018</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2025 支持會員 10 人</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5.1、5.2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去識別年度末有效會員名冊</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會員資料管理角色</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SYN-0134-019</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2025 示範免繳類別 4 人</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5.1、5.2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正式類別名冊及免繳依據</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會員資料管理角色</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SYN-0134-020</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2025 期初會員 48 人</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5.2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2024 年凍結名冊</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會員資料管理角色</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SYN-0134-021</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2025 新入會 10 人</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5.2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2025 入會生效紀錄</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會員資料管理角色</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SYN-0134-022</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2025 退出／資格終止 4 人</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5.2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2025 退會或資格終止紀錄</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會員資料管理角色</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SYN-0134-023</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2025 期末會員 54 人</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5.1、5.2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去重名冊及變動調節表</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會員資料管理角色</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SYN-0134-024</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2025 年一般會員變動 36＋6－2＝40</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5.2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入會、退出與類別歷史紀錄</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會員資料管理角色</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SYN-0134-025</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2025 年支持會員變動 8＋3－1＝10</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5.2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入會、退出與類別歷史紀錄</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會員資料管理角色</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SYN-0134-026</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2025 年示範免繳類別變動 4＋1－1＝4</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5.2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入會、退出與類別歷史紀錄</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會員資料管理角色</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SYN-0134-027</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一般會員示範年費 NT$3,000</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5.3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各年度正式會費標準及生效日期</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財務承辦角色</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SYN-0134-028</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支持會員示範年費 NT$1,500</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5.3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各年度正式會費標準及生效日期</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財務承辦角色</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SYN-0134-029</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示範免繳類別費率 NT$0</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5.3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正式會員類別、減免規則及核准原件</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會員與財務權責角色</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SYN-0134-030</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2023 一般會員收款 30 人、NT$90,000</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5.3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收款明細、收據／銀行紀錄及總帳</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財務承辦角色</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SYN-0134-031</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2023 支持會員收款 8 人、NT$12,000</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5.3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收款明細、收據／銀行紀錄及總帳</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財務承辦角色</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SYN-0134-032</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2023 示範退款 NT$0、淨收款 NT$102,000</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5.3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退款、折讓及年度會費調節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財務承辦角色</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SYN-0134-033</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2024 一般會員收款 34 人、NT$102,000</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5.3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收款明細、收據／銀行紀錄及總帳</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財務承辦角色</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SYN-0134-034</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2024 支持會員收款 8 人、NT$12,000</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5.3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收款明細、收據／銀行紀錄及總帳</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財務承辦角色</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SYN-0134-035</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2024 示範收款總額 NT$114,000</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5.3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收款批次及總帳控制總額</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財務承辦角色</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SYN-0134-036</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2024 示範退款 NT$3,000</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5.3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原收款、退款憑證、核准與沖帳</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財務承辦角色</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SYN-0134-037</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2024 示範淨收款 NT$111,000</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5.3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收款與退款調節、財務政策</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財務權責角色</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SYN-0134-038</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2024 一般會員示範欠費 2 人</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5.3 節及第 10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會員資格、應收、減免或催收原件</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財務與會員承辦角色</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SYN-0134-039</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2025 一般會員收款 38 人、NT$114,000</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5.3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收款明細、收據／銀行紀錄及總帳</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財務承辦角色</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SYN-0134-040</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2025 支持會員收款 9 人、NT$13,500</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5.3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收款明細、收據／銀行紀錄及總帳</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財務承辦角色</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SYN-0134-041</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2025 示範收款總額 NT$127,500</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5.3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收款批次及總帳控制總額</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財務承辦角色</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SYN-0134-042</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2025 示範退款 NT$1,500</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5.3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原收款、退款憑證、核准與沖帳</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財務承辦角色</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SYN-0134-043</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2025 示範淨收款 NT$126,000</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5.3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收款與退款調節、財務政策</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財務權責角色</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SYN-0134-044</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2025 一般會員示範欠費 2 人</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5.3 節及第 10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會員資格、應收、減免或催收原件</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財務與會員承辦角色</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SYN-0134-045</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2025 支持會員示範欠費 1 人</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5.3 節及第 10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會員資格、應收、減免或催收原件</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財務與會員承辦角色</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SYN-0134-046</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會員 2024 年增率 14.3%</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5.4、6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凍結名冊及公式重算表</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分析承辦與第二覆核角色</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SYN-0134-047</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 2025 年增率 12.5%</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5.4、6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凍結名冊及公式重算表</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分析承辦與第二覆核角色</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SYN-0134-048</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會員 2023 至 2025 累計率 28.6%</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5.4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凍結名冊及公式重算表</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分析承辦與第二覆核角色</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SYN-0134-049</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示範淨收款 2024 年增率 8.8%</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5.4、6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收款／退款調節與公式重算表</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財務與第二覆核角色</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SYN-0134-050</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示範淨收款 2025 年增率 13.5%</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5.4、6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收款／退款調節與公式重算表</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財務與第二覆核角色</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SYN-0134-051</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示範淨收款 2023 至 2025 累計率 23.5%</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5.4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收款／退款調節與公式重算表</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財務與第二覆核角色</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SYN-0134-052</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示例資料差異為 0；真實原件差異 UNKNOWN</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8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原件逐筆對帳、覆核底稿</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第二覆核角色</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SYN-0134-053</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SAMPLE 覆核日期 2026-01-20</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8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真實覆核紀錄及版本時間戳</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權責主管角色</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SYN-0134-054</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角色名稱均為佔位</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全文流程與建議表</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組織職掌、正式授權與真實覆核者</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協會權責角色</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SYN-0134-055</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成長不得歸因於訓練或單一活動</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1、6、9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若要作因果推論，需另備真實介入與比較設計</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研究／分析角色</w:t>
            </w:r>
          </w:p>
        </w:tc>
      </w:tr>
    </w:tbl>
    <w:p>
      <w:pPr>
        <w:spacing w:after="40" w:before="0"/>
      </w:pPr>
    </w:p>
    <w:p>
      <w:pPr>
        <w:pStyle w:val="Heading1"/>
      </w:pPr>
      <w:r>
        <w:rPr>
          <w:rFonts w:ascii="Microsoft JhengHei" w:hAnsi="Microsoft JhengHei" w:eastAsia="Microsoft JhengHei"/>
          <w:b w:val="0"/>
        </w:rPr>
        <w:t>12 官方要求 證據位置與覆核索引</w:t>
      </w:r>
    </w:p>
    <w:tbl>
      <w:tblPr>
        <w:tblStyle w:val="TableGrid"/>
        <w:tblW w:type="auto" w:w="0"/>
        <w:jc w:val="center"/>
        <w:tblLayout w:type="fixed"/>
        <w:tblLook w:firstColumn="1" w:firstRow="1" w:lastColumn="0" w:lastRow="0" w:noHBand="0" w:noVBand="1" w:val="04A0"/>
        <w:tblBorders>
          <w:top w:val="single" w:sz="4" w:space="0" w:color="B8C5CC"/>
          <w:left w:val="single" w:sz="4" w:space="0" w:color="B8C5CC"/>
          <w:bottom w:val="single" w:sz="4" w:space="0" w:color="B8C5CC"/>
          <w:right w:val="single" w:sz="4" w:space="0" w:color="B8C5CC"/>
          <w:insideH w:val="single" w:sz="4" w:space="0" w:color="B8C5CC"/>
          <w:insideV w:val="single" w:sz="4" w:space="0" w:color="B8C5CC"/>
        </w:tblBorders>
      </w:tblPr>
      <w:tblGrid>
        <w:gridCol w:w="2062"/>
        <w:gridCol w:w="2062"/>
        <w:gridCol w:w="2062"/>
        <w:gridCol w:w="2062"/>
        <w:gridCol w:w="2062"/>
      </w:tblGrid>
      <w:tr>
        <w:trPr>
          <w:cantSplit/>
          <w:tblHeader w:val="true"/>
        </w:trPr>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要求／控制</w:t>
            </w:r>
          </w:p>
        </w:tc>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官方或來源定位</w:t>
            </w:r>
          </w:p>
        </w:tc>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報告位置</w:t>
            </w:r>
          </w:p>
        </w:tc>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覆核方法</w:t>
            </w:r>
          </w:p>
        </w:tc>
        <w:tc>
          <w:tcPr>
            <w:tcW w:type="dxa" w:w="2062"/>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本件狀態</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會員人數及會費收入均逐年增加</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官方查核佐證表 PDF 第 8 頁，原文照錄</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摘要、第 5.1、5.3、5.4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逐年檢查兩個序列、絕對差及年增率</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合成示範呈正向；協會實績 UNKNOWN</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人數與收入分開計算</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I19-E23 專屬 Blueprint；142 文件序列</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3、5、6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確認會員單位不是參訓人次；收入不由會員數直接推算</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示範方法已分開</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會員人數母體及分母</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142 Blueprint 指定的指標分析欄位</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3、5.1、5.2、6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期末唯一有效會員、期初＋加入－退出＝期末</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合成勾稽可重算；真實資格規則 UNKNOWN</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會費收入口徑、欠費及退款</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142 Blueprint 指定的來源與計算欄位</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3、5.3、5.4、7、8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收款、退款、欠費與認列收入分開；對帳至正式總帳</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示範淨收款可重算；正式口徑 UNKNOWN</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年增率與零分母規則</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142 Blueprint 指定的計算與分析欄位</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5.4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後期減前期除以前期；零分母 N/A；最後才四捨五入</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已示範並列公式</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來源追溯及敏感資料保護</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157 index 147</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4、7.1、11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來源、擷取、權限、遮罩與替換原件可追</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尚無真實個資原件；僅列替換規則</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與 0133 區分</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鄰項 I19-E22／文件 0133</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第 2.3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不使用班次或參訓人次冒充會員數</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已明確排除</w:t>
            </w:r>
          </w:p>
        </w:tc>
      </w:tr>
      <w:tr>
        <w:trPr>
          <w:cantSplit/>
        </w:trPr>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與 0135 區分</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鄰項 I19-E25／文件 0135</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第 2.3 節</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不使用市場／顧客價值效果冒充會員或收入</w:t>
            </w:r>
          </w:p>
        </w:tc>
        <w:tc>
          <w:tcPr>
            <w:tcW w:type="dxa" w:w="2062"/>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已明確排除</w:t>
            </w:r>
          </w:p>
        </w:tc>
      </w:tr>
      <w:tr>
        <w:trPr>
          <w:cantSplit/>
        </w:trPr>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SAMPLE／REAL 界線及原件限制</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142 Blueprint 的替換簿與防偽規則</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全文頁首、第 1、4.1、8、11 節</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搜尋示範標籤、檢查是否出現未授權人名、簽章或核准</w:t>
            </w:r>
          </w:p>
        </w:tc>
        <w:tc>
          <w:tcPr>
            <w:tcW w:type="dxa" w:w="2062"/>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全文 SAMPLE／SYNTHETIC；REAL 原件 UNKNOWN</w:t>
            </w:r>
          </w:p>
        </w:tc>
      </w:tr>
    </w:tbl>
    <w:p>
      <w:pPr>
        <w:spacing w:after="40" w:before="0"/>
      </w:pPr>
    </w:p>
    <w:p>
      <w:pPr>
        <w:pStyle w:val="Heading2"/>
      </w:pPr>
      <w:r>
        <w:rPr>
          <w:rFonts w:ascii="Microsoft JhengHei" w:hAnsi="Microsoft JhengHei" w:eastAsia="Microsoft JhengHei"/>
          <w:b w:val="0"/>
        </w:rPr>
        <w:t>12 1 標題盲測</w:t>
      </w:r>
    </w:p>
    <w:p>
      <w:r>
        <w:rPr>
          <w:rFonts w:ascii="Microsoft JhengHei" w:hAnsi="Microsoft JhengHei" w:eastAsia="Microsoft JhengHei"/>
          <w:b w:val="0"/>
        </w:rPr>
        <w:t>即使遮住本件標題及編號，正文仍有期末有效會員數、會員類別、入會退出調節、會費收款／退款、欠費、總帳口徑、會員年增率與會費年增率等專屬欄位；讀者可辨識它是會員人數及會費收入的年度趨勢分析。本文不能不改內容便移作 0133 的班次／參訓人次表，亦不能移作 0135 的顧客價值成效分析。</w:t>
      </w:r>
    </w:p>
    <w:p>
      <w:pPr>
        <w:pStyle w:val="Heading1"/>
      </w:pPr>
      <w:r>
        <w:rPr>
          <w:rFonts w:ascii="Microsoft JhengHei" w:hAnsi="Microsoft JhengHei" w:eastAsia="Microsoft JhengHei"/>
          <w:b w:val="0"/>
        </w:rPr>
        <w:t>13 REAL 資料取得與正式替換作業單</w:t>
      </w:r>
    </w:p>
    <w:p>
      <w:r>
        <w:rPr>
          <w:rFonts w:ascii="Microsoft JhengHei" w:hAnsi="Microsoft JhengHei" w:eastAsia="Microsoft JhengHei"/>
          <w:b w:val="0"/>
        </w:rPr>
        <w:t>以下是實際替換時需逐列完成的作業欄位。此作業單是操作欄位模板，不以空表取代本件已填妥的合成案例；未取得原件時狀態應維持 UNKNOWN。</w:t>
      </w:r>
    </w:p>
    <w:tbl>
      <w:tblPr>
        <w:tblStyle w:val="TableGrid"/>
        <w:tblW w:type="auto" w:w="0"/>
        <w:jc w:val="center"/>
        <w:tblLayout w:type="fixed"/>
        <w:tblLook w:firstColumn="1" w:firstRow="1" w:lastColumn="0" w:lastRow="0" w:noHBand="0" w:noVBand="1" w:val="04A0"/>
        <w:tblBorders>
          <w:top w:val="single" w:sz="4" w:space="0" w:color="B8C5CC"/>
          <w:left w:val="single" w:sz="4" w:space="0" w:color="B8C5CC"/>
          <w:bottom w:val="single" w:sz="4" w:space="0" w:color="B8C5CC"/>
          <w:right w:val="single" w:sz="4" w:space="0" w:color="B8C5CC"/>
          <w:insideH w:val="single" w:sz="4" w:space="0" w:color="B8C5CC"/>
          <w:insideV w:val="single" w:sz="4" w:space="0" w:color="B8C5CC"/>
        </w:tblBorders>
      </w:tblPr>
      <w:tblGrid>
        <w:gridCol w:w="2577"/>
        <w:gridCol w:w="2577"/>
        <w:gridCol w:w="2577"/>
        <w:gridCol w:w="2577"/>
      </w:tblGrid>
      <w:tr>
        <w:trPr>
          <w:cantSplit/>
          <w:tblHeader w:val="true"/>
        </w:trPr>
        <w:tc>
          <w:tcPr>
            <w:tcW w:type="dxa" w:w="2361"/>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項目</w:t>
            </w:r>
          </w:p>
        </w:tc>
        <w:tc>
          <w:tcPr>
            <w:tcW w:type="dxa" w:w="2699"/>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需取得的原件或確認</w:t>
            </w:r>
          </w:p>
        </w:tc>
        <w:tc>
          <w:tcPr>
            <w:tcW w:type="dxa" w:w="2551"/>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輸入狀態</w:t>
            </w:r>
          </w:p>
        </w:tc>
        <w:tc>
          <w:tcPr>
            <w:tcW w:type="dxa" w:w="2699"/>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解除 HOLD 的條件</w:t>
            </w:r>
          </w:p>
        </w:tc>
      </w:tr>
      <w:tr>
        <w:trPr>
          <w:cantSplit/>
        </w:trPr>
        <w:tc>
          <w:tcPr>
            <w:tcW w:type="dxa" w:w="2361"/>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會員資格規則</w:t>
            </w:r>
          </w:p>
        </w:tc>
        <w:tc>
          <w:tcPr>
            <w:tcW w:type="dxa" w:w="2699"/>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章程、會員辦法、類別及有效日規則、欠費與停權規定</w:t>
            </w:r>
          </w:p>
        </w:tc>
        <w:tc>
          <w:tcPr>
            <w:tcW w:type="dxa" w:w="2551"/>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UNKNOWN</w:t>
            </w:r>
          </w:p>
        </w:tc>
        <w:tc>
          <w:tcPr>
            <w:tcW w:type="dxa" w:w="2699"/>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權責單位確認版本與期間</w:t>
            </w:r>
          </w:p>
        </w:tc>
      </w:tr>
      <w:tr>
        <w:trPr>
          <w:cantSplit/>
        </w:trPr>
        <w:tc>
          <w:tcPr>
            <w:tcW w:type="dxa" w:w="2361"/>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年末名冊</w:t>
            </w:r>
          </w:p>
        </w:tc>
        <w:tc>
          <w:tcPr>
            <w:tcW w:type="dxa" w:w="2699"/>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三個可比較年度的去識別唯一會員清冊、擷取日期、分類欄位</w:t>
            </w:r>
          </w:p>
        </w:tc>
        <w:tc>
          <w:tcPr>
            <w:tcW w:type="dxa" w:w="2551"/>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UNKNOWN</w:t>
            </w:r>
          </w:p>
        </w:tc>
        <w:tc>
          <w:tcPr>
            <w:tcW w:type="dxa" w:w="2699"/>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權限合法、去重規則一致、期末凍結可追溯</w:t>
            </w:r>
          </w:p>
        </w:tc>
      </w:tr>
      <w:tr>
        <w:trPr>
          <w:cantSplit/>
        </w:trPr>
        <w:tc>
          <w:tcPr>
            <w:tcW w:type="dxa" w:w="2361"/>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會員異動</w:t>
            </w:r>
          </w:p>
        </w:tc>
        <w:tc>
          <w:tcPr>
            <w:tcW w:type="dxa" w:w="2699"/>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入會、退會、轉類、死亡、資格終止及復權的生效資料</w:t>
            </w:r>
          </w:p>
        </w:tc>
        <w:tc>
          <w:tcPr>
            <w:tcW w:type="dxa" w:w="2551"/>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UNKNOWN</w:t>
            </w:r>
          </w:p>
        </w:tc>
        <w:tc>
          <w:tcPr>
            <w:tcW w:type="dxa" w:w="2699"/>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期初＋加入＋轉入－退出－轉出可調節至期末</w:t>
            </w:r>
          </w:p>
        </w:tc>
      </w:tr>
      <w:tr>
        <w:trPr>
          <w:cantSplit/>
        </w:trPr>
        <w:tc>
          <w:tcPr>
            <w:tcW w:type="dxa" w:w="2361"/>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年度費率</w:t>
            </w:r>
          </w:p>
        </w:tc>
        <w:tc>
          <w:tcPr>
            <w:tcW w:type="dxa" w:w="2699"/>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每年度核准的各類別費率與有效期間</w:t>
            </w:r>
          </w:p>
        </w:tc>
        <w:tc>
          <w:tcPr>
            <w:tcW w:type="dxa" w:w="2551"/>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UNKNOWN</w:t>
            </w:r>
          </w:p>
        </w:tc>
        <w:tc>
          <w:tcPr>
            <w:tcW w:type="dxa" w:w="2699"/>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變動有正式版本，不以本件示範費率替代</w:t>
            </w:r>
          </w:p>
        </w:tc>
      </w:tr>
      <w:tr>
        <w:trPr>
          <w:cantSplit/>
        </w:trPr>
        <w:tc>
          <w:tcPr>
            <w:tcW w:type="dxa" w:w="2361"/>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收款及退款</w:t>
            </w:r>
          </w:p>
        </w:tc>
        <w:tc>
          <w:tcPr>
            <w:tcW w:type="dxa" w:w="2699"/>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收據／銀行／現金簿、退款折讓及沖帳原件</w:t>
            </w:r>
          </w:p>
        </w:tc>
        <w:tc>
          <w:tcPr>
            <w:tcW w:type="dxa" w:w="2551"/>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UNKNOWN</w:t>
            </w:r>
          </w:p>
        </w:tc>
        <w:tc>
          <w:tcPr>
            <w:tcW w:type="dxa" w:w="2699"/>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金額、年度及會員鍵可調節，敏感資料受控</w:t>
            </w:r>
          </w:p>
        </w:tc>
      </w:tr>
      <w:tr>
        <w:trPr>
          <w:cantSplit/>
        </w:trPr>
        <w:tc>
          <w:tcPr>
            <w:tcW w:type="dxa" w:w="2361"/>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正式收入基礎</w:t>
            </w:r>
          </w:p>
        </w:tc>
        <w:tc>
          <w:tcPr>
            <w:tcW w:type="dxa" w:w="2699"/>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會計政策、總帳科目映射、應計或現金基礎、年度調整</w:t>
            </w:r>
          </w:p>
        </w:tc>
        <w:tc>
          <w:tcPr>
            <w:tcW w:type="dxa" w:w="2551"/>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UNKNOWN</w:t>
            </w:r>
          </w:p>
        </w:tc>
        <w:tc>
          <w:tcPr>
            <w:tcW w:type="dxa" w:w="2699"/>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財務權責人確認，與總帳及財報調節</w:t>
            </w:r>
          </w:p>
        </w:tc>
      </w:tr>
      <w:tr>
        <w:trPr>
          <w:cantSplit/>
        </w:trPr>
        <w:tc>
          <w:tcPr>
            <w:tcW w:type="dxa" w:w="2361"/>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覆核與授權</w:t>
            </w:r>
          </w:p>
        </w:tc>
        <w:tc>
          <w:tcPr>
            <w:tcW w:type="dxa" w:w="2699"/>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真實覆核者、覆核日期、核准或簽章（如制度要求）</w:t>
            </w:r>
          </w:p>
        </w:tc>
        <w:tc>
          <w:tcPr>
            <w:tcW w:type="dxa" w:w="2551"/>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UNKNOWN</w:t>
            </w:r>
          </w:p>
        </w:tc>
        <w:tc>
          <w:tcPr>
            <w:tcW w:type="dxa" w:w="2699"/>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從正式系統或來源取得原件；不可在本文件仿製</w:t>
            </w:r>
          </w:p>
        </w:tc>
      </w:tr>
      <w:tr>
        <w:trPr>
          <w:cantSplit/>
        </w:trPr>
        <w:tc>
          <w:tcPr>
            <w:tcW w:type="dxa" w:w="2361"/>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個資與分享</w:t>
            </w:r>
          </w:p>
        </w:tc>
        <w:tc>
          <w:tcPr>
            <w:tcW w:type="dxa" w:w="2699"/>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存取權限、遮罩、保存期限及可公開範圍</w:t>
            </w:r>
          </w:p>
        </w:tc>
        <w:tc>
          <w:tcPr>
            <w:tcW w:type="dxa" w:w="2551"/>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UNKNOWN</w:t>
            </w:r>
          </w:p>
        </w:tc>
        <w:tc>
          <w:tcPr>
            <w:tcW w:type="dxa" w:w="2699"/>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協會資料權責人確認，公開包不含受保護原件</w:t>
            </w:r>
          </w:p>
        </w:tc>
      </w:tr>
    </w:tbl>
    <w:p>
      <w:pPr>
        <w:spacing w:after="40" w:before="0"/>
      </w:pPr>
    </w:p>
    <w:p>
      <w:r>
        <w:rPr>
          <w:rFonts w:ascii="Microsoft JhengHei" w:hAnsi="Microsoft JhengHei" w:eastAsia="Microsoft JhengHei"/>
          <w:b w:val="0"/>
        </w:rPr>
        <w:t>替換時按此順序操作：保留 R01 合成稿與其 SHA 作歷史；複製到新的 REAL 候選版；逐筆更換資料並更新 register key；重新計算全部年度；雙人覆核差異；移除所有不再適用的合成文字；保留真實來源索引但只在有權限的位置；重新產生 DOCX、逐頁檢查、重算並取得獨立 exact-SHA 語意審查。任何一步失敗只將本件標為 HOLD，不得回寫合成示例為實績。</w:t>
      </w:r>
    </w:p>
    <w:p>
      <w:pPr>
        <w:pStyle w:val="Heading1"/>
        <w:pageBreakBefore/>
      </w:pPr>
      <w:r>
        <w:rPr>
          <w:rFonts w:ascii="Microsoft JhengHei" w:hAnsi="Microsoft JhengHei" w:eastAsia="Microsoft JhengHei"/>
          <w:b w:val="0"/>
        </w:rPr>
        <w:t>14 版本 檢查及使用狀態</w:t>
      </w:r>
    </w:p>
    <w:tbl>
      <w:tblPr>
        <w:tblStyle w:val="TableGrid"/>
        <w:tblW w:type="auto" w:w="0"/>
        <w:jc w:val="center"/>
        <w:tblLayout w:type="fixed"/>
        <w:tblLook w:firstColumn="1" w:firstRow="1" w:lastColumn="0" w:lastRow="0" w:noHBand="0" w:noVBand="1" w:val="04A0"/>
        <w:tblBorders>
          <w:top w:val="single" w:sz="4" w:space="0" w:color="B8C5CC"/>
          <w:left w:val="single" w:sz="4" w:space="0" w:color="B8C5CC"/>
          <w:bottom w:val="single" w:sz="4" w:space="0" w:color="B8C5CC"/>
          <w:right w:val="single" w:sz="4" w:space="0" w:color="B8C5CC"/>
          <w:insideH w:val="single" w:sz="4" w:space="0" w:color="B8C5CC"/>
          <w:insideV w:val="single" w:sz="4" w:space="0" w:color="B8C5CC"/>
        </w:tblBorders>
      </w:tblPr>
      <w:tblGrid>
        <w:gridCol w:w="5155"/>
        <w:gridCol w:w="5155"/>
      </w:tblGrid>
      <w:tr>
        <w:trPr>
          <w:cantSplit/>
          <w:tblHeader w:val="true"/>
        </w:trPr>
        <w:tc>
          <w:tcPr>
            <w:tcW w:type="dxa" w:w="5155"/>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欄位</w:t>
            </w:r>
          </w:p>
        </w:tc>
        <w:tc>
          <w:tcPr>
            <w:tcW w:type="dxa" w:w="5155"/>
            <w:vAlign w:val="center"/>
            <w:tcMar>
              <w:top w:w="90" w:type="dxa"/>
              <w:start w:w="90" w:type="dxa"/>
              <w:bottom w:w="90" w:type="dxa"/>
              <w:end w:w="90" w:type="dxa"/>
            </w:tcMar>
            <w:shd w:fill="1F5D68"/>
          </w:tcPr>
          <w:p>
            <w:pPr>
              <w:spacing w:after="0" w:before="0" w:line="250" w:lineRule="auto"/>
            </w:pPr>
            <w:r>
              <w:rPr>
                <w:rFonts w:ascii="Microsoft JhengHei" w:hAnsi="Microsoft JhengHei" w:eastAsia="Microsoft JhengHei"/>
                <w:b/>
                <w:color w:val="FFFFFF"/>
                <w:sz w:val="19"/>
              </w:rPr>
              <w:t>本候選填寫</w:t>
            </w:r>
          </w:p>
        </w:tc>
      </w:tr>
      <w:tr>
        <w:trPr>
          <w:cantSplit/>
        </w:trPr>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文件 ID／官方 requirement</w:t>
            </w:r>
          </w:p>
        </w:tc>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0134／I19-E23</w:t>
            </w:r>
          </w:p>
        </w:tc>
      </w:tr>
      <w:tr>
        <w:trPr>
          <w:cantSplit/>
        </w:trPr>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內容版本</w:t>
            </w:r>
          </w:p>
        </w:tc>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R01，依官方來源、142 唯一 Blueprint、157 index 147 與鄰項對照新建；歷史正文未作模板</w:t>
            </w:r>
          </w:p>
        </w:tc>
      </w:tr>
      <w:tr>
        <w:trPr>
          <w:cantSplit/>
        </w:trPr>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候選狀態</w:t>
            </w:r>
          </w:p>
        </w:tc>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CANDIDATE；不是正式接受版本</w:t>
            </w:r>
          </w:p>
        </w:tc>
      </w:tr>
      <w:tr>
        <w:trPr>
          <w:cantSplit/>
        </w:trPr>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內容資料狀態</w:t>
            </w:r>
          </w:p>
        </w:tc>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SAMPLE／SYNTHETIC；替換清冊鍵 SYN-0134-001 至 SYN-0134-055</w:t>
            </w:r>
          </w:p>
        </w:tc>
      </w:tr>
      <w:tr>
        <w:trPr>
          <w:cantSplit/>
        </w:trPr>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算術自檢</w:t>
            </w:r>
          </w:p>
        </w:tc>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合成加總、差額、會員率及示範收款率可獨立重算；不代表 REAL 對帳</w:t>
            </w:r>
          </w:p>
        </w:tc>
      </w:tr>
      <w:tr>
        <w:trPr>
          <w:cantSplit/>
        </w:trPr>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原件與真人覆核</w:t>
            </w:r>
          </w:p>
        </w:tc>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未取得；UNKNOWN</w:t>
            </w:r>
          </w:p>
        </w:tc>
      </w:tr>
      <w:tr>
        <w:trPr>
          <w:cantSplit/>
        </w:trPr>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Word 原生匯出及全 20 頁初檢</w:t>
            </w:r>
          </w:p>
        </w:tc>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建置者已完成原生匯出及逐頁版面檢查；精確 SHA 與頁面影像留存於施工收據；獨立 reviewer 尚未審查</w:t>
            </w:r>
          </w:p>
        </w:tc>
      </w:tr>
      <w:tr>
        <w:trPr>
          <w:cantSplit/>
        </w:trPr>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獨立 exact-SHA 語意審查</w:t>
            </w:r>
          </w:p>
        </w:tc>
        <w:tc>
          <w:tcPr>
            <w:tcW w:type="dxa" w:w="5155"/>
            <w:vAlign w:val="center"/>
            <w:tcMar>
              <w:top w:w="90" w:type="dxa"/>
              <w:start w:w="90" w:type="dxa"/>
              <w:bottom w:w="90" w:type="dxa"/>
              <w:end w:w="90" w:type="dxa"/>
            </w:tcMar>
            <w:shd w:fill="EAF1F4"/>
          </w:tcPr>
          <w:p>
            <w:pPr>
              <w:spacing w:after="0" w:before="0" w:line="250" w:lineRule="auto"/>
            </w:pPr>
            <w:r>
              <w:rPr>
                <w:rFonts w:ascii="Microsoft JhengHei" w:hAnsi="Microsoft JhengHei" w:eastAsia="Microsoft JhengHei"/>
                <w:b w:val="0"/>
                <w:sz w:val="19"/>
              </w:rPr>
              <w:t>PENDING；不得以作者自檢替代</w:t>
            </w:r>
          </w:p>
        </w:tc>
      </w:tr>
      <w:tr>
        <w:trPr>
          <w:cantSplit/>
        </w:trPr>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正式接受／對外送審</w:t>
            </w:r>
          </w:p>
        </w:tc>
        <w:tc>
          <w:tcPr>
            <w:tcW w:type="dxa" w:w="5155"/>
            <w:vAlign w:val="center"/>
            <w:tcMar>
              <w:top w:w="90" w:type="dxa"/>
              <w:start w:w="90" w:type="dxa"/>
              <w:bottom w:w="90" w:type="dxa"/>
              <w:end w:w="90" w:type="dxa"/>
            </w:tcMar>
          </w:tcPr>
          <w:p>
            <w:pPr>
              <w:spacing w:after="0" w:before="0" w:line="250" w:lineRule="auto"/>
            </w:pPr>
            <w:r>
              <w:rPr>
                <w:rFonts w:ascii="Microsoft JhengHei" w:hAnsi="Microsoft JhengHei" w:eastAsia="Microsoft JhengHei"/>
                <w:b w:val="0"/>
                <w:sz w:val="19"/>
              </w:rPr>
              <w:t>NOT_GRANTED</w:t>
            </w:r>
          </w:p>
        </w:tc>
      </w:tr>
    </w:tbl>
    <w:p>
      <w:pPr>
        <w:spacing w:after="40" w:before="0"/>
      </w:pPr>
    </w:p>
    <w:p>
      <w:r>
        <w:rPr>
          <w:rFonts w:ascii="Microsoft JhengHei" w:hAnsi="Microsoft JhengHei" w:eastAsia="Microsoft JhengHei"/>
          <w:b w:val="0"/>
        </w:rPr>
        <w:t>本候選已完成 Word 原生匯出、字級與公式檢查及全頁版面初檢，並固定候選 exact SHA。下一步由獨立 reviewer 直接審查同一 SHA；只有取得真實原件後，才能對協會趨勢作 REAL 判定。</w:t>
      </w:r>
    </w:p>
    <w:sectPr w:rsidR="00FC693F" w:rsidRPr="0006063C" w:rsidSect="00034616">
      <w:headerReference w:type="default" r:id="rId9"/>
      <w:footerReference w:type="default" r:id="rId10"/>
      <w:pgSz w:w="12240" w:h="15840"/>
      <w:pgMar w:top="979" w:right="965" w:bottom="979"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sz w:val="18"/>
      </w:rPr>
      <w:t xml:space="preserve">候選稿 R01  ·  REAL 證據尚未提供  ·  第 </w:t>
    </w:r>
    <w:r>
      <w:rPr>
        <w:rFonts w:ascii="Microsoft JhengHei" w:hAnsi="Microsoft JhengHei" w:eastAsia="Microsoft JhengHei"/>
        <w:color w:val="5B6570"/>
        <w:sz w:val="18"/>
      </w:rPr>
      <w:fldChar w:fldCharType="begin"/>
      <w:instrText xml:space="preserve">PAGE</w:instrText>
      <w:fldChar w:fldCharType="separate"/>
      <w:t>1</w:t>
      <w:fldChar w:fldCharType="end"/>
    </w:r>
    <w:r>
      <w:rPr>
        <w:rFonts w:ascii="Microsoft JhengHei" w:hAnsi="Microsoft JhengHei" w:eastAsia="Microsoft JhengHei"/>
        <w:sz w:val="18"/>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2616B"/>
        <w:sz w:val="17"/>
      </w:rPr>
      <w:t>TTQS ONE    0134 會員與會費年度分析    SAMPLE／SYNTHETIC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2025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Microsoft JhengHei" w:hAnsi="Microsoft JhengHei" w:eastAsia="Microsoft JhengHe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Microsoft JhengHei" w:hAnsi="Microsoft JhengHei" w:eastAsia="Microsoft JhengHe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Microsoft JhengHei" w:hAnsi="Microsoft JhengHei" w:eastAsia="Microsoft JhengHe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40"/>
      <w:contextualSpacing/>
    </w:pPr>
    <w:rPr>
      <w:rFonts w:asciiTheme="majorHAnsi" w:eastAsiaTheme="majorEastAsia" w:hAnsiTheme="majorHAnsi" w:cstheme="majorBidi" w:ascii="Microsoft JhengHei" w:hAnsi="Microsoft JhengHei" w:eastAsia="Microsoft JhengHei"/>
      <w:b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會員人數及會費收入逐年變化分析報告</dc:title>
  <dc:subject>TTQS ONE 0134 I19-E23; SAMPLE/SYNTHETIC candidate</dc:subject>
  <dc:creator>TTQS ONE candidate preparation</dc:creator>
  <cp:keywords>0134, I19-E23, membership, dues, SAMPLE, SYNTHETIC</cp:keywords>
  <dc:description>generated by python-docx</dc:description>
  <cp:lastModifiedBy/>
  <cp:revision>1</cp:revision>
  <dcterms:created xsi:type="dcterms:W3CDTF">2013-12-23T23:15:00Z</dcterms:created>
  <dcterms:modified xsi:type="dcterms:W3CDTF">2013-12-23T23:15:00Z</dcterms:modified>
  <cp:category/>
</cp:coreProperties>
</file>