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sz w:val="36"/>
        </w:rPr>
        <w:t>三年營業額成長與財務來源核對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rFonts w:ascii="Microsoft JhengHei" w:hAnsi="Microsoft JhengHei" w:eastAsia="Microsoft JhengHei"/>
          <w:sz w:val="21"/>
        </w:rPr>
        <w:t>文件編號：TTQS-0142｜官方要求：I19-E32｜157清單索引：156｜印刷checkbox serial：UNKNOWN｜內容版本：1.3／R08；建置標籤：R08-TR01｜文件狀態：CANDIDATE｜示範資料：SAMPLE/SYNTHETIC｜REAL證據：UNKNOWN/HOLD｜官方分數：NOT_ASSIGNED｜正式接受：NOT_GRANTED｜生效：未生效｜修訂日：2026-10-28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　快速閱讀與本報告用途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目前狀態（分項）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CANDIDATE；SAMPLE/SYNTHETIC示範；REAL=UNKNOWN/HOLD；官方分數=NOT_ASSIGNED；正式接受=NOT_GRANTED；未生效。組織實際趨勢未判定。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表2　官方要求來源基礎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官方勾選原文：「組織近三年營業額持續成長。」Requirement：I19-E32；157清單索引156。</w:t>
              <w:br/>
              <w:t>本機來源檔名：TTQS查核佐證文件資料表-訓練機構版 (2).pdf；PDF SHA-256：805386b77df045b396fabafed7a47d12491c25a0b5744edd9a04876caee34709；共9頁，本件引用第9頁／9頁。</w:t>
              <w:br/>
              <w:t>原件版次／官方發布日／本機下載日：UNKNOWN；本機檔案修改時間2026-10-02 01:37:44+08:00僅為檔案系統中繼資料，不視為發布或下載證據；SHA與頁數於2026-10-28本機核對。</w:t>
              <w:br/>
              <w:t>PDF內嵌CreationDate/ModDate：2026-01-07 15:56+08:00（檔案中繼資料，非正式版次）。以上引用不代表已取得或核實組織財務原件。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sz w:val="21"/>
        </w:rPr>
        <w:t>本件只處理上述營業額趨勢核對。合成案例示範完整欄位、計算與判讀；正式實績須以組織可核對的財務原件替換後重算。 本次候選版次沿革及R06→R07逐項變更另見品質旁件，來源包R01保留為歷史來源快照。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sz w:val="21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以0139／I19-E29考照或就業率及其分母、0140／I19-E30訓練資訊系統採用或使用率、0141／I19-E31顧客滿意度多期量尺或統計替代營業額趨勢；不得借用其資料、期間、樣本、結論或分數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表3　核對欄位定義與驗證責任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表4　SAMPLE資料聲明與使用界線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金額保留來源原值；百分比以未四捨五入的原始分子與分母計算，最後依四捨五入規則顯示至小數第二位；不先將中間值四捨五入。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表5　三年度營業額與其他收入示例｜SAMPLE資料集A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表6　示例資料定位與核對責任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表7　逐年及首末累計趨勢算式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  <w:cantSplit/>
        </w:trPr>
        <w:tc>
          <w:tcPr>
            <w:tcW w:type="dxa" w:w="26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核對項目與期間</w:t>
            </w:r>
          </w:p>
        </w:tc>
        <w:tc>
          <w:tcPr>
            <w:tcW w:type="dxa" w:w="420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逐步算式（含分子／分母）</w:t>
            </w:r>
          </w:p>
        </w:tc>
        <w:tc>
          <w:tcPr>
            <w:tcW w:type="dxa" w:w="327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結果、單位與可比性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2024營業額年增率｜本年1,320,000；前期1,200,000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分子=1,320,000−1,200,000=120,000；分母=1,200,000；120,000÷1,200,000×100%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+10.00%；百分比。僅在完整年度、幣別／單位及分類一致時可比；本例為SAMPLE假設。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2025營業額年增率｜本年1,452,000；前期1,320,000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分子=1,452,000−1,320,000=132,000；分母=1,320,000；132,000÷1,320,000×100%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+10.00%；百分比。僅在完整年度、幣別／單位及分類一致時可比；本例為SAMPLE假設。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2023至2025營業額累計變動｜末年1,452,000；基年1,200,000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分子=1,452,000−1,200,000=252,000；分母=1,200,000；252,000÷1,200,000×100%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+21.00%；百分比。此值不替代逐年正成長檢查；本例為SAMPLE假設。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2023至2025總收入累計變動｜末年1,752,000；基年1,480,000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分子=1,752,000−1,480,000=272,000；分母=1,480,000；272,000÷1,480,000×100%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+18.38%；百分比。總收入僅作旁列，不能替代營業額趨勢。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表8　SAMPLE算例判讀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示例判定</w:t>
              <w:br/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REAL逐年成長的聯合判定規則（下列條件必須全部成立）：(1) 三個連續完整年度的正式財務原件可調回、來源可核實且授權有效；(2) 期間、幣別、單位及會計基礎可比，或已有可查證的正式調節；(3) 營業收入科目由具權責財務角色依正式科目表確認，收入分類一致；(4) 每一年度財報與收入明細／總帳均已勾稽，差異及調整有原件定位並完成覆核；(5) 2024營業額大於2023，且2025大於2024。任一條件不成立、缺件或未覆核，REAL維持UNKNOWN/HOLD；不得以示例算術推論協會持續成長。</w:t>
      </w:r>
    </w:p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表9　證據限制與例外處理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表10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官方要求與文件定位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官方原文：組織近三年營業額持續成長。｜Requirement：I19-E32｜157清單索引：156｜印刷 checkbox serial：UNKNOWN｜來源：TTQS訓練機構版查核佐證資料表實體第9頁。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資料、方法與判讀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第4節表5至表8提供三年度SAMPLE資料、來源定位、逐步算式及示例判讀；第8至12節表12至表16提供來源登錄、科目映射、帳表勾稽、例外停審及逐列替換。表5至表8均為SAMPLE/SYNTHETIC，不能證明本會實績。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限制、跨文件與升格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沒有受權三年財報、收入明細／總帳、科目映射及逐年調節證據；REAL=UNKNOWN/HOLD、官方分數NOT_ASSIGNED、正式接受NOT_GRANTED。只以本件SAMPLE ID追蹤；沒有共享REAL source_id/fact_id，不推定0139、0140、0141或其他文件的數字、期間或結論可沿用。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sz w:val="21"/>
        </w:rPr>
        <w:t>相鄰要求辨別：0139／I19-E29為考照／就業率與分母；0140／I19-E30為訓練資訊系統採用／使用率；0141／I19-E31為顧客滿意度多期量尺統計。三者的資料、期間、樣本、結論或分數均不得替代本件營業額與財報核實。</w:t>
      </w: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sz w:val="21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至表8；來源登錄、科目映射、帳表勾稽、停審條件及逐列替換見第8至12節表12至表16。內容版本：1.3／R08（候選文件；SAMPLE/SYNTHETIC示範；未生效）；建置標籤：R08-TR01；父候選：R07-LF01；修訂日期及生效狀態依首頁文件控制資訊（I19-E32；157索引156；印刷序號UNKNOWN），不代表財務資料日期、覆核或核准日期。</w:t>
      </w:r>
    </w:p>
    <w:p>
      <w:r>
        <w:br w:type="page"/>
      </w:r>
    </w:p>
    <w:p>
      <w:pPr>
        <w:pStyle w:val="Heading1"/>
        <w:keepNext/>
      </w:pPr>
      <w:r>
        <w:t>8　年度來源登錄與原件調回</w:t>
      </w:r>
    </w:p>
    <w:p>
      <w:pPr>
        <w:spacing w:after="100"/>
      </w:pPr>
      <w:r>
        <w:t>表12以同一組合成資料示範逐年如何記錄來源識別、版本、期間、頁列、幣別與帳務基礎、核准狀態、整理／覆核角色及差異。列出的來源識別只指向本文件的SAMPLE資料集，並非實際財報、總帳或外部原件；REAL來源尚未提供，所有年份維持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表12　年度來源登錄（SAMPLE例示；REAL原件未提供）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6"/>
        <w:gridCol w:w="1446"/>
        <w:gridCol w:w="1215"/>
        <w:gridCol w:w="1186"/>
        <w:gridCol w:w="1446"/>
        <w:gridCol w:w="1706"/>
        <w:gridCol w:w="1938"/>
      </w:tblGrid>
      <w:tr>
        <w:trPr>
          <w:tblHeader w:val="true"/>
          <w:cantSplit/>
        </w:trPr>
        <w:tc>
          <w:tcPr>
            <w:tcW w:type="dxa" w:w="118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年度與期間／SAMPLE來源ID</w:t>
            </w:r>
          </w:p>
        </w:tc>
        <w:tc>
          <w:tcPr>
            <w:tcW w:type="dxa" w:w="144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SAMPLE來源、版本及文件定位</w:t>
            </w:r>
          </w:p>
        </w:tc>
        <w:tc>
          <w:tcPr>
            <w:tcW w:type="dxa" w:w="121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幣別／單位</w:t>
              <w:br/>
              <w:t>會計基礎</w:t>
            </w:r>
          </w:p>
        </w:tc>
        <w:tc>
          <w:tcPr>
            <w:tcW w:type="dxa" w:w="118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整理角色</w:t>
              <w:br/>
              <w:t>獨立覆核角色／日期</w:t>
              <w:br/>
              <w:t>核准狀態</w:t>
            </w:r>
          </w:p>
        </w:tc>
        <w:tc>
          <w:tcPr>
            <w:tcW w:type="dxa" w:w="144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示例金額摘要</w:t>
            </w:r>
          </w:p>
        </w:tc>
        <w:tc>
          <w:tcPr>
            <w:tcW w:type="dxa" w:w="170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REAL原件定位與狀態</w:t>
            </w:r>
          </w:p>
        </w:tc>
        <w:tc>
          <w:tcPr>
            <w:tcW w:type="dxa" w:w="193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差異（SAMPLE／REAL分開）</w:t>
            </w:r>
          </w:p>
        </w:tc>
      </w:tr>
      <w:tr>
        <w:trPr>
          <w:cantSplit/>
        </w:trPr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SYN-SRC-2023-A｜2023-01-01至2023-12-31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本文件SAMPLE資料集A；表5第2023列；版本SYN-R01；非外部原件</w:t>
            </w:r>
          </w:p>
        </w:tc>
        <w:tc>
          <w:tcPr>
            <w:tcW w:type="dxa" w:w="12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</w:t>
              <w:br/>
              <w:t>SAMPLE：未指定權責制或現金制</w:t>
              <w:br/>
              <w:t>REAL：照正式財報／附註記錄；未確認或年度間不一致即HOLD</w:t>
            </w:r>
          </w:p>
        </w:tc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整理角色：SAMPLE合成角色甲</w:t>
              <w:br/>
              <w:t>獨立覆核角色：SAMPLE合成角色乙（示例、非真人／非實際覆核）</w:t>
              <w:br/>
              <w:t>日期：N/A（無真實覆核日期）</w:t>
              <w:br/>
              <w:t>核准狀態：無真人調閱或簽核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示例營業額1,200,000；其他收入280,000；總收入1,480,000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  <w:tc>
          <w:tcPr>
            <w:tcW w:type="dxa" w:w="19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SAMPLE勾稽差異：0元；REAL財報／總帳差異：UNKNOWN/HOLD，未取得原件。</w:t>
            </w:r>
          </w:p>
        </w:tc>
      </w:tr>
      <w:tr>
        <w:trPr>
          <w:cantSplit/>
        </w:trPr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SYN-SRC-2024-A｜2024-01-01至2024-12-31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本文件SAMPLE資料集A；表5第2024列；版本SYN-R01；非外部原件</w:t>
            </w:r>
          </w:p>
        </w:tc>
        <w:tc>
          <w:tcPr>
            <w:tcW w:type="dxa" w:w="12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</w:t>
              <w:br/>
              <w:t>SAMPLE：未指定權責制或現金制</w:t>
              <w:br/>
              <w:t>REAL：照正式財報／附註記錄；未確認或年度間不一致即HOLD</w:t>
            </w:r>
          </w:p>
        </w:tc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整理角色：SAMPLE合成角色甲</w:t>
              <w:br/>
              <w:t>獨立覆核角色：SAMPLE合成角色乙（示例、非真人／非實際覆核）</w:t>
              <w:br/>
              <w:t>日期：N/A（無真實覆核日期）</w:t>
              <w:br/>
              <w:t>核准狀態：無真人調閱或簽核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示例營業額1,320,000；其他收入260,000；總收入1,580,000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  <w:tc>
          <w:tcPr>
            <w:tcW w:type="dxa" w:w="19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SAMPLE勾稽差異：0元；REAL財報／總帳差異：UNKNOWN/HOLD，未取得原件。</w:t>
            </w:r>
          </w:p>
        </w:tc>
      </w:tr>
      <w:tr>
        <w:trPr>
          <w:cantSplit/>
        </w:trPr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SYN-SRC-2025-A｜2025-01-01至2025-12-31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本文件SAMPLE資料集A；表5第2025列；版本SYN-R01；非外部原件</w:t>
            </w:r>
          </w:p>
        </w:tc>
        <w:tc>
          <w:tcPr>
            <w:tcW w:type="dxa" w:w="12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</w:t>
              <w:br/>
              <w:t>SAMPLE：未指定權責制或現金制</w:t>
              <w:br/>
              <w:t>REAL：照正式財報／附註記錄；未確認或年度間不一致即HOLD</w:t>
            </w:r>
          </w:p>
        </w:tc>
        <w:tc>
          <w:tcPr>
            <w:tcW w:type="dxa" w:w="11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整理角色：SAMPLE合成角色甲</w:t>
              <w:br/>
              <w:t>獨立覆核角色：SAMPLE合成角色乙（示例、非真人／非實際覆核）</w:t>
              <w:br/>
              <w:t>日期：N/A（無真實覆核日期）</w:t>
              <w:br/>
              <w:t>核准狀態：無真人調閱或簽核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示例營業額1,452,000；其他收入300,000；總收入1,752,000</w:t>
            </w:r>
          </w:p>
        </w:tc>
        <w:tc>
          <w:tcPr>
            <w:tcW w:type="dxa" w:w="17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  <w:tc>
          <w:tcPr>
            <w:tcW w:type="dxa" w:w="19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SAMPLE勾稽差異：0元；REAL財報／總帳差異：UNKNOWN/HOLD，未取得原件。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　科目映射與收入分類</w:t>
      </w:r>
    </w:p>
    <w:p>
      <w:pPr>
        <w:spacing w:after="100"/>
      </w:pPr>
      <w:r>
        <w:t>表13示範把「營業額」的案例假設和其他收入分開。非營利組織實際科目是否屬營業收入，必須由有權的財務資料保管者依組織會計科目表確認；本表的SAMPLE分類不是協會會計政策或正式核准。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表13　營業收入與其他收入科目映射（示例假設與REAL關卡）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5"/>
        <w:gridCol w:w="1711"/>
        <w:gridCol w:w="1131"/>
        <w:gridCol w:w="1479"/>
        <w:gridCol w:w="1958"/>
        <w:gridCol w:w="2538"/>
      </w:tblGrid>
      <w:tr>
        <w:trPr>
          <w:tblHeader w:val="true"/>
          <w:cantSplit/>
        </w:trPr>
        <w:tc>
          <w:tcPr>
            <w:tcW w:type="dxa" w:w="130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科目ID／狀態</w:t>
            </w:r>
          </w:p>
        </w:tc>
        <w:tc>
          <w:tcPr>
            <w:tcW w:type="dxa" w:w="1711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合成科目與分類</w:t>
            </w:r>
          </w:p>
        </w:tc>
        <w:tc>
          <w:tcPr>
            <w:tcW w:type="dxa" w:w="1131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納入營業額？</w:t>
            </w:r>
          </w:p>
        </w:tc>
        <w:tc>
          <w:tcPr>
            <w:tcW w:type="dxa" w:w="147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示例依據及適用範圍</w:t>
            </w:r>
          </w:p>
        </w:tc>
        <w:tc>
          <w:tcPr>
            <w:tcW w:type="dxa" w:w="195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REAL權責確認、版本與狀態</w:t>
            </w:r>
          </w:p>
        </w:tc>
        <w:tc>
          <w:tcPr>
            <w:tcW w:type="dxa" w:w="253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正式分類決定依據</w:t>
            </w:r>
          </w:p>
        </w:tc>
      </w:tr>
      <w:tr>
        <w:trPr>
          <w:cantSplit/>
        </w:trPr>
        <w:tc>
          <w:tcPr>
            <w:tcW w:type="dxa" w:w="13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SYN-REV-SVC-01</w:t>
            </w:r>
          </w:p>
        </w:tc>
        <w:tc>
          <w:tcPr>
            <w:tcW w:type="dxa" w:w="17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示例服務收入；合成科目，不是真實科目代碼</w:t>
            </w:r>
          </w:p>
        </w:tc>
        <w:tc>
          <w:tcPr>
            <w:tcW w:type="dxa" w:w="11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本算例假設納入</w:t>
            </w:r>
          </w:p>
        </w:tc>
        <w:tc>
          <w:tcPr>
            <w:tcW w:type="dxa" w:w="14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只為示範逐年營業額公式；不代表協會科目映射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REAL科目表與權責確認未提供；UNKNOWN/HOLD</w:t>
            </w:r>
          </w:p>
        </w:tc>
        <w:tc>
          <w:tcPr>
            <w:tcW w:type="dxa" w:w="25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SAMPLE假設僅供算例；REAL須以正式科目表、財報列與收入明細／總帳定位，經有權財務角色確認並記錄年度及版本。未確認即HOLD。</w:t>
            </w:r>
          </w:p>
        </w:tc>
      </w:tr>
      <w:tr>
        <w:trPr>
          <w:cantSplit/>
        </w:trPr>
        <w:tc>
          <w:tcPr>
            <w:tcW w:type="dxa" w:w="13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SYN-OTHER-AGG-01</w:t>
            </w:r>
          </w:p>
        </w:tc>
        <w:tc>
          <w:tcPr>
            <w:tcW w:type="dxa" w:w="17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示例其他收入合計；合成總額，不推定其構成</w:t>
            </w:r>
          </w:p>
        </w:tc>
        <w:tc>
          <w:tcPr>
            <w:tcW w:type="dxa" w:w="11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不納入本例營業額；另列</w:t>
            </w:r>
          </w:p>
        </w:tc>
        <w:tc>
          <w:tcPr>
            <w:tcW w:type="dxa" w:w="14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280,000／260,000／300,000只作其他收入欄，未拆成實際來源類別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REAL分類、原始科目與版本未確認；UNKNOWN/HOLD</w:t>
            </w:r>
          </w:p>
        </w:tc>
        <w:tc>
          <w:tcPr>
            <w:tcW w:type="dxa" w:w="25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示範金額不得推定科目；REAL須對正式科目表、財報列與收入明細／總帳，保留分類及排除依據。未確認即HOLD。</w:t>
            </w:r>
          </w:p>
        </w:tc>
      </w:tr>
      <w:tr>
        <w:trPr>
          <w:cantSplit/>
        </w:trPr>
        <w:tc>
          <w:tcPr>
            <w:tcW w:type="dxa" w:w="13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REAL-CLASSIFICATION-GATE</w:t>
            </w:r>
          </w:p>
        </w:tc>
        <w:tc>
          <w:tcPr>
            <w:tcW w:type="dxa" w:w="171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捐款、補助、會費、利息、代收款、退款／折讓等候核項目</w:t>
            </w:r>
          </w:p>
        </w:tc>
        <w:tc>
          <w:tcPr>
            <w:tcW w:type="dxa" w:w="11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未核實前不自行納入</w:t>
            </w:r>
          </w:p>
        </w:tc>
        <w:tc>
          <w:tcPr>
            <w:tcW w:type="dxa" w:w="147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逐項比對財報列、總帳明細及分類依據；不以總收入替代營業額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由實際財務權責角色確認；原件、核准依據及版本未提供；HOLD</w:t>
            </w:r>
          </w:p>
        </w:tc>
        <w:tc>
          <w:tcPr>
            <w:tcW w:type="dxa" w:w="253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逐項比對正式核准科目表、財報與收入明細／總帳；有權財務角色確認分類、會計基礎、適用年度與版本，並記錄決定日期；任何缺件均HOLD。</w:t>
            </w:r>
          </w:p>
        </w:tc>
      </w:tr>
    </w:tbl>
    <w:p>
      <w:pPr>
        <w:pStyle w:val="Heading1"/>
        <w:keepNext/>
      </w:pPr>
      <w:r>
        <w:t>10　年度帳表勾稽與差異調節</w:t>
      </w:r>
    </w:p>
    <w:p>
      <w:pPr>
        <w:spacing w:after="100"/>
      </w:pPr>
      <w:r>
        <w:t>表14先核對三年度示範收入合計，再把「算術差異」與「財報對總帳差異」分開。表內加總差異為SAMPLE數學檢查；未取得財報及總帳原件，因此正式帳表差異不是零，而是UNKNOWN/HOLD。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表14　年度收入勾稽與帳表差異調節（SAMPLE）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1"/>
        <w:gridCol w:w="1128"/>
        <w:gridCol w:w="1128"/>
        <w:gridCol w:w="1128"/>
        <w:gridCol w:w="1374"/>
        <w:gridCol w:w="1518"/>
        <w:gridCol w:w="1518"/>
        <w:gridCol w:w="1678"/>
      </w:tblGrid>
      <w:tr>
        <w:trPr>
          <w:tblHeader w:val="true"/>
          <w:cantSplit/>
        </w:trPr>
        <w:tc>
          <w:tcPr>
            <w:tcW w:type="dxa" w:w="651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12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營業額（SAMPLE）</w:t>
            </w:r>
          </w:p>
        </w:tc>
        <w:tc>
          <w:tcPr>
            <w:tcW w:type="dxa" w:w="112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其他收入（SAMPLE）</w:t>
            </w:r>
          </w:p>
        </w:tc>
        <w:tc>
          <w:tcPr>
            <w:tcW w:type="dxa" w:w="112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總收入（SAMPLE）</w:t>
            </w:r>
          </w:p>
        </w:tc>
        <w:tc>
          <w:tcPr>
            <w:tcW w:type="dxa" w:w="137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示例加總差異</w:t>
            </w:r>
          </w:p>
        </w:tc>
        <w:tc>
          <w:tcPr>
            <w:tcW w:type="dxa" w:w="151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REAL財報／總帳差異</w:t>
            </w:r>
          </w:p>
        </w:tc>
        <w:tc>
          <w:tcPr>
            <w:tcW w:type="dxa" w:w="151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調整金額與理由</w:t>
            </w:r>
          </w:p>
        </w:tc>
        <w:tc>
          <w:tcPr>
            <w:tcW w:type="dxa" w:w="1678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原件定位（REAL）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1,200,000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1,480,000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SAMPLE差異0元；1,200,000＋280,000−1,480,000＝0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UNKNOWN/HOLD；財報／總帳原件未提供；不得填成零。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SAMPLE不作REAL調整；REAL調整分錄、金額及理由未提供／UNKNOWN。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SAMPLE定位：表5第2023列；REAL財報頁碼／總帳科目列未提供／UNKNOWN/HOLD。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1,320,000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260,000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1,580,000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SAMPLE差異0元；1,320,000＋260,000−1,580,000＝0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UNKNOWN/HOLD；財報／總帳原件未提供；不得填成零。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SAMPLE不作REAL調整；REAL調整分錄、金額及理由未提供／UNKNOWN。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SAMPLE定位：表5第2024列；REAL財報頁碼／總帳科目列未提供／UNKNOWN/HOLD。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1,452,000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300,000</w:t>
            </w:r>
          </w:p>
        </w:tc>
        <w:tc>
          <w:tcPr>
            <w:tcW w:type="dxa" w:w="11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1,752,000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SAMPLE差異0元；1,452,000＋300,000−1,752,000＝0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UNKNOWN/HOLD；財報／總帳原件未提供；不得填成零。</w:t>
            </w:r>
          </w:p>
        </w:tc>
        <w:tc>
          <w:tcPr>
            <w:tcW w:type="dxa" w:w="1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SAMPLE不作REAL調整；REAL調整分錄、金額及理由未提供／UNKNOWN。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SAMPLE定位：表5第2025列；REAL財報頁碼／總帳科目列未提供／UNKNOWN/HOLD。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　例外停審與解除條件</w:t>
      </w:r>
    </w:p>
    <w:p>
      <w:pPr>
        <w:spacing w:after="100"/>
      </w:pPr>
      <w:r>
        <w:t>以下任一情形都必須先停下受影響年度或分類，不得以估算補值或SAMPLE結論解除REAL停審。實際責任人與期限只能由協會指定；在原件、權限或差異證據未完成前，維持UNKNOWN/HOLD。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表15　例外、停審責任與解除證據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3"/>
        <w:gridCol w:w="1229"/>
        <w:gridCol w:w="1726"/>
        <w:gridCol w:w="1229"/>
        <w:gridCol w:w="2604"/>
        <w:gridCol w:w="1872"/>
      </w:tblGrid>
      <w:tr>
        <w:trPr>
          <w:tblHeader w:val="true"/>
          <w:cantSplit/>
        </w:trPr>
        <w:tc>
          <w:tcPr>
            <w:tcW w:type="dxa" w:w="1463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停止條件</w:t>
            </w:r>
          </w:p>
        </w:tc>
        <w:tc>
          <w:tcPr>
            <w:tcW w:type="dxa" w:w="122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受影響範圍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判定／停止規則</w:t>
            </w:r>
          </w:p>
        </w:tc>
        <w:tc>
          <w:tcPr>
            <w:tcW w:type="dxa" w:w="122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責任角色與期限</w:t>
            </w:r>
          </w:p>
        </w:tc>
        <w:tc>
          <w:tcPr>
            <w:tcW w:type="dxa" w:w="260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解除證據及後續重算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重算日期（SAMPLE／REAL分開）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正式年度財報或必要附註缺件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受影響年度；三年趨勢不得定案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HOLD；不外推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財務資料保管角色；實際期限由單位指定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取得授權版本、完整年度與可調回頁碼／科目列後重算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年度不連續、短年度或結帳狀態不明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相關年度與相鄰成長率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不可比；N/A／HOLD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資料整理角色與財務覆核角色；期限由單位指定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確認起訖日、結帳完成狀態及可比較的連續期間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前期基數≤0或金額單位不同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受影響公式與累計比較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該增幅=N/A並標記HOLD；不得除以零或自行換算。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覆核角色；期限由單位指定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取得權威幣別／單位及可用基期；保留原值與換算依據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營業收入科目尚未核定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所有營業額欄及成長結論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HOLD；其他收入不得代替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具權限財務資料保管角色；期限由單位指定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核對核准科目表、分類依據、年度適用版本及授權確認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財報與總帳／收入明細不相符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差異涉及年度、科目與總額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HOLD；差異不得寫成零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整理角色與獨立覆核角色；期限由單位指定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逐項定位差異、調整分錄及原件；重算並保留前後金額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捐款、補助、會費、代收款或一次性收入混入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受影響分類及趨勢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分類未決則排除並HOLD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財務權責角色；期限由單位指定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取得收入明細與分類依據；確認是否屬營業收入後重算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財報版本、核准狀態或來源位置不可追溯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相關年度原件與計算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HOLD；不得以截圖或未授權副本替代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原件保管角色；期限由單位指定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記錄正式名稱、版本、頁列、核准狀態及受控保存位置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REAL原件缺授權或不可公開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原件調閱／分享範圍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不得上傳或公開；維持UNKNOWN/HOLD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資料保管角色；期限由單位指定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在有權限的受控來源完成核對；公開版只列不敏感的驗收狀態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會計基礎不同（權責／現金）且未調節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受影響年度、營業額比較與累計結果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不可比；相關百分比=N/A並HOLD；不得自行換算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財務權責角色與獨立覆核角色；期限由單位指定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取得各年度正式基礎、調節明細及可比證據；保留原值、調節分錄、來源位置後重算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退款、折讓或沖銷未分類／未勾稽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受影響年度、收入科目及淨額趨勢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分類未決或金額未勾稽即HOLD；不得忽略或重複扣除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財務權責角色與獨立覆核角色；期限由單位指定</w:t>
            </w:r>
          </w:p>
        </w:tc>
        <w:tc>
          <w:tcPr>
            <w:tcW w:type="dxa" w:w="26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取得原始憑證、正式科目、總帳位置與計算依據；確認淨額處理後重算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SAMPLE算例重算日：2026-10-28；REAL：N/A（未取得原件、未重算，UNKNOWN/HOLD）。解除後記錄實際覆核日期。</w:t>
            </w:r>
          </w:p>
        </w:tc>
      </w:tr>
    </w:tbl>
    <w:p>
      <w:pPr>
        <w:spacing w:before="60" w:after="100"/>
      </w:pPr>
      <w:r>
        <w:rPr>
          <w:rFonts w:ascii="Microsoft JhengHei" w:hAnsi="Microsoft JhengHei" w:eastAsia="Microsoft JhengHei"/>
          <w:b w:val="0"/>
          <w:sz w:val="21"/>
        </w:rPr>
        <w:t>REAL退件條件（適用真實佐證包或正式送審主張；本候選的SAMPLE完整示例不等於REAL通過）：漏任一完整年度；期間不連續或短年度不可比；分母≤0仍計算或未標N/A/HOLD；來源、會計基礎或科目分類不可追溯；捐款、補助、會費、代收款、一次性收入、退款／折讓／沖銷未分類即併入；表間差異未調節；調整無憑證或原件位置；以0139考照／就業率、0140系統使用率或0141滿意度替代；把SAMPLE標為REAL；偽造簽名、核准、財報、第三方原件或官方分數。</w:t>
      </w:r>
    </w:p>
    <w:p>
      <w:pPr>
        <w:pStyle w:val="Heading1"/>
        <w:keepNext/>
      </w:pPr>
      <w:r>
        <w:t>12　逐列SAMPLE替換清冊</w:t>
      </w:r>
    </w:p>
    <w:p>
      <w:pPr>
        <w:spacing w:after="100"/>
      </w:pPr>
      <w:r>
        <w:t>表16列碼F01–F19逐列對應隨附CSV的display_id；CSV保留完整sample_fact_id供追溯。金額均為SAMPLE/SYNTHETIC，幣別以新臺幣為示範假設。REAL財務原件尚未提供者一律UNKNOWN/HOLD、未覆核、未替換；封面修訂資料不是財務證據，也不代表核准生效。 實務替換時另存獨立REAL版本，保留本文SAMPLE列不覆寫；逐列替換狀態以隨附CSV為準。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表16　SAMPLE逐列替換清冊（19列；18項合成事實及1項文件控制中繼資料）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850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列碼</w:t>
            </w:r>
          </w:p>
        </w:tc>
        <w:tc>
          <w:tcPr>
            <w:tcW w:type="dxa" w:w="1545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文件位置</w:t>
            </w:r>
          </w:p>
        </w:tc>
        <w:tc>
          <w:tcPr>
            <w:tcW w:type="dxa" w:w="1700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SAMPLE示例值／單位</w:t>
            </w:r>
          </w:p>
        </w:tc>
        <w:tc>
          <w:tcPr>
            <w:tcW w:type="dxa" w:w="3941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REAL替換必要來源</w:t>
            </w:r>
          </w:p>
        </w:tc>
        <w:tc>
          <w:tcPr>
            <w:tcW w:type="dxa" w:w="2086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REAL狀態／覆核／日期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F01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表5／6｜2023年度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F02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1,200,000元；NTD假設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F03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F04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1,480,000元；合成加總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F05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表5／6｜2024年度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F06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1,320,000元；NTD假設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F07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260,000元；分列SAMPLE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F08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1,580,000元；合成加總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F09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表5／6｜2025年度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F10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1,452,000元；NTD假設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F11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300,000元；分列SAMPLE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F12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1,752,000元；合成加總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F13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表5年增率／表7｜2024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10.00%；合成重算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SAMPLE重算日：2026-10-28；REAL：N/A（未替換、未覆核），UNKNOWN/HOLD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F14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表5年增率／表7｜2025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10.00%；合成重算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SAMPLE重算日：2026-10-28；REAL：N/A（未替換、未覆核），UNKNOWN/HOLD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F15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表7營業收入累計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21.00%；合成重算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SAMPLE重算日：2026-10-28；REAL：N/A（未替換、未覆核），UNKNOWN/HOLD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F16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表7總收入累計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18.38%；合成重算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SAMPLE重算日：2026-10-28；REAL：N/A（未替換、未覆核），UNKNOWN/HOLD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F17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表5–7幣別／單位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新臺幣元；示範假設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核定財報幣別與計量單位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F18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表4假設／表13科目映射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營業收入＝服務收入；合成假設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核定科目表＋財務角色確認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F19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封面版次控制欄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候選內容版本1.3/R08；建置R08-TR01（針對獨立審查發現的版本、登錄與替換指示修復）；修訂日2026-10-28（控制中繼資料，不是財務事實）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受控候選版次紀錄；生效核准另查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不適用於REAL財務；候選未生效／未核准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三年營業額成長與財務來源核對</dc:title>
  <dc:subject>TTQS ONE / 0142 / I19-E32 / CANDIDATE R07 / SAMPLE-SYNTHETIC</dc:subject>
  <dc:creator/>
  <cp:keywords/>
  <dc:description>R07 targeted repair from R06 exact SHA; REAL=UNKNOWN/HOLD; score NOT_ASSIGNED; formal acceptance NOT_GRANTED.</dc:description>
  <cp:lastModifiedBy/>
  <cp:revision>1</cp:revision>
  <dcterms:created xsi:type="dcterms:W3CDTF">2026-10-03T01:31:23Z</dcterms:created>
  <dcterms:modified xsi:type="dcterms:W3CDTF">2026-10-03T20:31:05Z</dcterms:modified>
  <cp:category/>
</cp:coreProperties>
</file>