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 w:cs="Microsoft JhengHei"/>
          <w:b/>
          <w:color w:val="000000"/>
          <w:sz w:val="48"/>
        </w:rPr>
        <w:t>訓練方案系統設計改善執行與成效示範紀錄</w:t>
      </w:r>
    </w:p>
    <w:p>
      <w:pPr>
        <w:spacing w:after="160" w:line="274" w:lineRule="auto"/>
      </w:pPr>
      <w:r>
        <w:rPr>
          <w:rFonts w:ascii="Microsoft JhengHei" w:hAnsi="Microsoft JhengHei" w:eastAsia="Microsoft JhengHei" w:cs="Microsoft JhengHei"/>
          <w:b w:val="0"/>
          <w:color w:val="234B62"/>
          <w:sz w:val="24"/>
        </w:rPr>
        <w:t>文件 0038　｜　I08-E02　｜　官方具名方框序號 039</w:t>
      </w:r>
    </w:p>
    <w:p>
      <w:pPr>
        <w:spacing w:after="180" w:line="274" w:lineRule="auto"/>
      </w:pPr>
      <w:r>
        <w:rPr>
          <w:rFonts w:ascii="Microsoft JhengHei" w:hAnsi="Microsoft JhengHei" w:eastAsia="Microsoft JhengHei" w:cs="Microsoft JhengHei"/>
          <w:b w:val="0"/>
          <w:color w:val="8A4B16"/>
          <w:sz w:val="20"/>
        </w:rPr>
        <w:t>SAMPLE / SYNTHETIC COMPLETE EXAMPLE｜非原始點協會實際辦訓、核准、簽署或成效紀錄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這份紀錄供誰使用</w:t>
      </w: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 w:val="0"/>
          <w:color w:val="172B35"/>
          <w:sz w:val="22"/>
        </w:rPr>
        <w:t>供小型訓練機構承辦人檢討一項課程設計、記錄實際修改，並用同一量尺核對執行結果。行政人員可按本件順序完成找出缺口、比較方案、修訂課程、記錄樣本、重算結果及決定下一步；評核委員可查看官方需求、逐筆資料和判讀限制。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本例的示範結論</w:t>
      </w: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 w:val="0"/>
          <w:color w:val="172B35"/>
          <w:sz w:val="22"/>
        </w:rPr>
        <w:t>完全虛構的兩組各12人資料中，講授為主組後測達標3/12（25.0%）；加入情境演練與回饋組達標11/12（91.7%）。修訂組平均分增加2.92/8分，對照組增加1.08/8分，兩組增益差1.83分。這些數字只示範記錄與計算，既非協會實績，也不能證明因果效果。</w:t>
      </w: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/>
          <w:color w:val="234B62"/>
          <w:sz w:val="21"/>
        </w:rPr>
        <w:t>唯一命題：</w:t>
      </w:r>
      <w:r>
        <w:rPr>
          <w:rFonts w:ascii="Microsoft JhengHei" w:hAnsi="Microsoft JhengHei" w:eastAsia="Microsoft JhengHei" w:cs="Microsoft JhengHei"/>
          <w:b w:val="0"/>
          <w:color w:val="172B35"/>
          <w:sz w:val="21"/>
        </w:rPr>
        <w:t>訓練設計改善是否有事前假設、可比較選項、具體改動、可重算執行結果及有限度的後續決定。</w:t>
      </w: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/>
          <w:color w:val="234B62"/>
          <w:sz w:val="21"/>
        </w:rPr>
        <w:t>案例：</w:t>
      </w:r>
      <w:r>
        <w:rPr>
          <w:rFonts w:ascii="Microsoft JhengHei" w:hAnsi="Microsoft JhengHei" w:eastAsia="Microsoft JhengHei" w:cs="Microsoft JhengHei"/>
          <w:b w:val="0"/>
          <w:color w:val="172B35"/>
          <w:sz w:val="21"/>
        </w:rPr>
        <w:t>SYN-I08E02-2026-01；假設課程「社區關懷志工服務溝通與轉介界線」。</w:t>
      </w: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/>
          <w:color w:val="234B62"/>
          <w:sz w:val="21"/>
        </w:rPr>
        <w:t>資料狀態：</w:t>
      </w:r>
      <w:r>
        <w:rPr>
          <w:rFonts w:ascii="Microsoft JhengHei" w:hAnsi="Microsoft JhengHei" w:eastAsia="Microsoft JhengHei" w:cs="Microsoft JhengHei"/>
          <w:b w:val="0"/>
          <w:color w:val="172B35"/>
          <w:sz w:val="21"/>
        </w:rPr>
        <w:t>全篇日期、角色、課程、樣本、量尺、分數、決定均為合成示範；沒有任何真人或協會原始紀錄。</w:t>
      </w: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/>
          <w:color w:val="234B62"/>
          <w:sz w:val="21"/>
        </w:rPr>
        <w:t>來源定位：</w:t>
      </w:r>
      <w:r>
        <w:rPr>
          <w:rFonts w:ascii="Microsoft JhengHei" w:hAnsi="Microsoft JhengHei" w:eastAsia="Microsoft JhengHei" w:cs="Microsoft JhengHei"/>
          <w:b w:val="0"/>
          <w:color w:val="172B35"/>
          <w:sz w:val="21"/>
        </w:rPr>
        <w:t>官方訓練機構版佐證表 I08 p.2；p.3為相鄰項續頁。本件對應 I08-E02。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使用方式</w:t>
      </w: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 w:val="0"/>
          <w:color w:val="172B35"/>
          <w:sz w:val="22"/>
        </w:rPr>
        <w:t>實際使用時，將 SAMPLE 欄位換成經授權可查的課程版本、執行與評量資料，再保存附件位置、去識別方式及覆核軌跡。沒有真實資料時，保留本件為示範稿，不得勾選成協會已執行或正式通過。</w:t>
      </w:r>
    </w:p>
    <w:p>
      <w:pPr>
        <w:pStyle w:val="Heading1"/>
        <w:keepNext/>
        <w:pageBreakBefore/>
      </w:pPr>
      <w:r>
        <w:rPr>
          <w:rFonts w:ascii="Microsoft JhengHei" w:hAnsi="Microsoft JhengHei" w:eastAsia="Microsoft JhengHei" w:cs="Microsoft JhengHei"/>
          <w:b/>
          <w:color w:val="000000"/>
          <w:sz w:val="32"/>
        </w:rPr>
        <w:t>1　官方要求與本件工作邊界</w:t>
      </w: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 w:val="0"/>
          <w:color w:val="172B35"/>
          <w:sz w:val="22"/>
        </w:rPr>
        <w:t>官方文字：「針對訓練方案的系統設計能適時檢討及改善，執行後有良好效果。」本件以一項課程設計的缺口、替代方案、設計變更、執行記錄和結果判讀回應此命題；不以會議形式取代實際改善證據。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512"/>
        <w:gridCol w:w="5976"/>
        <w:gridCol w:w="2448"/>
      </w:tblGrid>
      <w:tr>
        <w:trPr>
          <w:tblHeader w:val="true"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對照項</w:t>
            </w:r>
          </w:p>
        </w:tc>
        <w:tc>
          <w:tcPr>
            <w:tcW w:type="dxa" w:w="59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本件如何處理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查核位置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官方定位</w:t>
            </w:r>
          </w:p>
        </w:tc>
        <w:tc>
          <w:tcPr>
            <w:tcW w:type="dxa" w:w="59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I08-E02；官方方框序號039；資料表p.2，續頁p.3。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本頁及來源索引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0038文類</w:t>
            </w:r>
          </w:p>
        </w:tc>
        <w:tc>
          <w:tcPr>
            <w:tcW w:type="dxa" w:w="59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執行與樣本紀錄；呈現操作流向、逐筆示範、計算和後續處置。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§2、§5–§9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0037負向鄰項</w:t>
            </w:r>
          </w:p>
        </w:tc>
        <w:tc>
          <w:tcPr>
            <w:tcW w:type="dxa" w:w="59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I08-E01重點是跨期設計變化；本件記錄一項改善的執行與效果，不代替跨期檢討。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差異說明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0039負向鄰項</w:t>
            </w:r>
          </w:p>
        </w:tc>
        <w:tc>
          <w:tcPr>
            <w:tcW w:type="dxa" w:w="59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I08-E03重點是規劃會議議程、意見、決議及追蹤；本件沒有假造會議或核准。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差異說明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真實界線</w:t>
            </w:r>
          </w:p>
        </w:tc>
        <w:tc>
          <w:tcPr>
            <w:tcW w:type="dxa" w:w="59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協會原始執行未驗證；案例獨立，不宣稱與0037或0039共用事實。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替換清冊與來源圖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合成案例的前提</w:t>
      </w: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 w:val="0"/>
          <w:color w:val="172B35"/>
          <w:sz w:val="22"/>
        </w:rPr>
        <w:t>本例假設承辦人發現講授與知識測驗不足以觀察志工的溝通、隱私及轉介界線，因此提出加入短情境演練的假設。這不是對原始點協會現行課程、服務對象、工作角色或既往成效的陳述。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217920" cy="13744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improvement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374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</w:pPr>
      <w:r>
        <w:rPr>
          <w:rFonts w:ascii="Microsoft JhengHei" w:hAnsi="Microsoft JhengHei" w:eastAsia="Microsoft JhengHei" w:cs="Microsoft JhengHei"/>
          <w:b/>
          <w:color w:val="000000"/>
          <w:sz w:val="32"/>
        </w:rPr>
        <w:t>2　設計缺口、觀察與方案比較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示範問題與可檢驗假設</w:t>
      </w: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 w:val="0"/>
          <w:color w:val="172B35"/>
          <w:sz w:val="22"/>
        </w:rPr>
        <w:t>合成基準設計假設為120分鐘講授為主，評量集中於知識題。它能檢查記憶，卻未直接觀察學習者是否說明服務目的、取得同意、保護資訊、守住非醫療界線並作適當轉介。此處只是示範設計假設，不是查得的協會課程缺陷。</w:t>
      </w: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 w:val="0"/>
          <w:color w:val="172B35"/>
          <w:sz w:val="22"/>
        </w:rPr>
        <w:t>假設：總時數、課程目標、量尺和評量時點相同時，以35分鐘情境演練與回饋取代部分講授，會提高學習者在等難度情境中展現目標行為的比例。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比較方案與示範評分</w:t>
      </w: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 w:val="0"/>
          <w:color w:val="172B35"/>
          <w:sz w:val="22"/>
        </w:rPr>
        <w:t>各項1–5分，5分代表較符合；加權分＝Σ（分數×權重），總分上限5.00。權重先於評分設定，合計100%。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160"/>
        <w:gridCol w:w="2232"/>
        <w:gridCol w:w="3024"/>
        <w:gridCol w:w="2520"/>
      </w:tblGrid>
      <w:tr>
        <w:trPr>
          <w:tblHeader w:val="true"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準則／權重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A 增加講義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B 情境演練＋回饋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C 外聘全日實作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可觀察行為證據 40%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2×.40=.80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5×.40=2.00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5×.40=2.00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小型課程可執行 25%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5×.25=1.25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4×.25=1.00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2×.25=.50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隱私／非醫療界線 20%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3×.20=.60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5×.20=1.00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5×.20=1.00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結果可追溯 15%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2×.15=.30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5×.15=.75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4×.15=.60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加權總分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2.95/5.00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4.75/5.00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4.10/5.00</w:t>
            </w:r>
          </w:p>
        </w:tc>
      </w:tr>
    </w:tbl>
    <w:p>
      <w:pPr>
        <w:spacing w:after="20"/>
      </w:pP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 w:val="0"/>
          <w:color w:val="172B35"/>
          <w:sz w:val="22"/>
        </w:rPr>
        <w:t>示範取捨：B得分最高且不增加總時數，以可觀察行為與回饋替代部分講授。A成本較低，但仍不能直接檢查行為；C觀察力較高，卻需更多經費及外部師資。上述分數與選擇是假設值，沒有協會正式決議。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從缺口到可驗證結果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2880"/>
        <w:gridCol w:w="2520"/>
        <w:gridCol w:w="2736"/>
      </w:tblGrid>
      <w:tr>
        <w:trPr>
          <w:tblHeader w:val="true"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設計缺口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具體修改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可查結果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事前判定規則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只用知識題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加入情境演練，評D1、D2。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前後測向量及評分表。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總分≥6/8。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服務界線混淆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加入界線示範、兩情境練習和回饋。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D3、D4分數及異常覆核。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D3、D4均&gt;0。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改善無固定口徑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兩組同時數、同量尺、配對前後測。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逐筆資料、有效數和增益。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B達標率≥80%，關鍵失誤=0才建議續試。</w:t>
            </w:r>
          </w:p>
        </w:tc>
      </w:tr>
    </w:tbl>
    <w:p>
      <w:pPr>
        <w:spacing w:after="20"/>
      </w:pP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 w:val="0"/>
          <w:color w:val="53656D"/>
          <w:sz w:val="19"/>
        </w:rPr>
        <w:t>本例沒有真實需求調查、職能盤點或先前實績支持此假設。真實執行時，須先附需求來源及版本差異再確認是否試作。</w:t>
      </w:r>
    </w:p>
    <w:p>
      <w:pPr>
        <w:pStyle w:val="Heading1"/>
        <w:keepNext/>
        <w:pageBreakBefore/>
      </w:pPr>
      <w:r>
        <w:rPr>
          <w:rFonts w:ascii="Microsoft JhengHei" w:hAnsi="Microsoft JhengHei" w:eastAsia="Microsoft JhengHei" w:cs="Microsoft JhengHei"/>
          <w:b/>
          <w:color w:val="000000"/>
          <w:sz w:val="32"/>
        </w:rPr>
        <w:t>3　修訂後課程設計與執行安排</w:t>
      </w: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 w:val="0"/>
          <w:color w:val="172B35"/>
          <w:sz w:val="22"/>
        </w:rPr>
        <w:t>示範課程：「社區關懷志工服務溝通與轉介界線」。對象是假設的社區關懷志工學習者；不得推定協會已開辦。兩組總時數同為120分鐘。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120分鐘教學安排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979"/>
        <w:gridCol w:w="1944"/>
        <w:gridCol w:w="3816"/>
        <w:gridCol w:w="3197"/>
      </w:tblGrid>
      <w:tr>
        <w:trPr>
          <w:tblHeader w:val="true"/>
        </w:trPr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時間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活動與方法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引導者操作</w:t>
            </w:r>
          </w:p>
        </w:tc>
        <w:tc>
          <w:tcPr>
            <w:tcW w:type="dxa" w:w="31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學習者產出／檢核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00–10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情境前測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說明匿名代碼及評分；發等難度情境卡。</w:t>
            </w:r>
          </w:p>
        </w:tc>
        <w:tc>
          <w:tcPr>
            <w:tcW w:type="dxa" w:w="31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完成四項行為前測。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10–20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目的、同意與拒絕權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示範先說明目的並詢問是否願意繼續。</w:t>
            </w:r>
          </w:p>
        </w:tc>
        <w:tc>
          <w:tcPr>
            <w:tcW w:type="dxa" w:w="31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重述可停止及改約界線。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20–40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開放提問與中性摘要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示範開放問句，區分聆聽、推測和承諾。</w:t>
            </w:r>
          </w:p>
        </w:tc>
        <w:tc>
          <w:tcPr>
            <w:tcW w:type="dxa" w:w="31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完成摘要並確認理解。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40–55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隱私及非醫療界線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比較必要資訊與多餘細節；示範停止並轉介。</w:t>
            </w:r>
          </w:p>
        </w:tc>
        <w:tc>
          <w:tcPr>
            <w:tcW w:type="dxa" w:w="31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指出何時不記、不建議、不代替專業判斷。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55–80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兩人一組演練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輪替服務者與觀察者，每人至少完整演練一次。</w:t>
            </w:r>
          </w:p>
        </w:tc>
        <w:tc>
          <w:tcPr>
            <w:tcW w:type="dxa" w:w="31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依D1–D4記錄可見行為。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80–105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個別後測情境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用另一等難度情境評分，不提示答案。</w:t>
            </w:r>
          </w:p>
        </w:tc>
        <w:tc>
          <w:tcPr>
            <w:tcW w:type="dxa" w:w="31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四項分數及簡短觀察事實。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105–115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回饋與重試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說明具體行為後給一次練習；正式分數不覆寫。</w:t>
            </w:r>
          </w:p>
        </w:tc>
        <w:tc>
          <w:tcPr>
            <w:tcW w:type="dxa" w:w="31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完成回饋練習，保留首測值。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115–120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轉用計畫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提示選一項下次可採行的服務行為。</w:t>
            </w:r>
          </w:p>
        </w:tc>
        <w:tc>
          <w:tcPr>
            <w:tcW w:type="dxa" w:w="31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記錄一項可觀察行動。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目標與證據對應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376"/>
        <w:gridCol w:w="3888"/>
        <w:gridCol w:w="3672"/>
      </w:tblGrid>
      <w:tr>
        <w:trPr>
          <w:tblHeader w:val="true"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可觀察目標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教學活動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評量證據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說明目的並取得同意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目的／拒絕權示範和演練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D1：先說明並取得同意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以開放問題理解需求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問句、摘要及理解確認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D2：開放提問與中性摘要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保護隱私並守住界線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必要資訊及非醫療界線情境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D3：隱私與角色界線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辨識超出角色問題並轉介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轉介流程示範及後測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D4：合宜路徑且不作保證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r>
        <w:rPr>
          <w:rFonts w:ascii="Microsoft JhengHei" w:hAnsi="Microsoft JhengHei" w:eastAsia="Microsoft JhengHei" w:cs="Microsoft JhengHei"/>
          <w:b/>
          <w:color w:val="000000"/>
          <w:sz w:val="32"/>
        </w:rPr>
        <w:t>4　評量工具、量尺與資料控制</w:t>
      </w: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 w:val="0"/>
          <w:color w:val="172B35"/>
          <w:sz w:val="22"/>
        </w:rPr>
        <w:t>前後測用難度相當但不同的情境，避免直接重複答案；兩組使用同一量尺。每項0–2分，總分0–8；正式判定同時符合總分和關鍵項條件。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613"/>
        <w:gridCol w:w="2131"/>
        <w:gridCol w:w="2131"/>
        <w:gridCol w:w="2880"/>
        <w:gridCol w:w="1181"/>
      </w:tblGrid>
      <w:tr>
        <w:trPr>
          <w:tblHeader w:val="true"/>
        </w:trPr>
        <w:tc>
          <w:tcPr>
            <w:tcW w:type="dxa" w:w="1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0分</w:t>
            </w:r>
          </w:p>
        </w:tc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1分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2分</w:t>
            </w:r>
          </w:p>
        </w:tc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關鍵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D1 目的與同意</w:t>
            </w:r>
          </w:p>
        </w:tc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直接追問或假定同意。</w:t>
            </w:r>
          </w:p>
        </w:tc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說明目的或詢問意願，未同時做到。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先說明目的，再詢問是否願意並接受拒絕。</w:t>
            </w:r>
          </w:p>
        </w:tc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D2 開放提問與摘要</w:t>
            </w:r>
          </w:p>
        </w:tc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誘導或封閉主導，未確認理解。</w:t>
            </w:r>
          </w:p>
        </w:tc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做到開放提問或摘要其中一項。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開放提問、中性摘要並確認理解。</w:t>
            </w:r>
          </w:p>
        </w:tc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D3 隱私與服務界線</w:t>
            </w:r>
          </w:p>
        </w:tc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不必要蒐集／揭露，或提供超出角色判斷。</w:t>
            </w:r>
          </w:p>
        </w:tc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保護部分資訊，但界線不完整。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只記必要資訊，明確不診斷、不承諾醫療效果。</w:t>
            </w:r>
          </w:p>
        </w:tc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是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D4 適當轉介與後續</w:t>
            </w:r>
          </w:p>
        </w:tc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未轉介，或作未確認保證。</w:t>
            </w:r>
          </w:p>
        </w:tc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指出資源但未說明下一步。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說明適當聯繫及可確認後續，不保證結果。</w:t>
            </w:r>
          </w:p>
        </w:tc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是</w:t>
            </w:r>
          </w:p>
        </w:tc>
      </w:tr>
    </w:tbl>
    <w:p>
      <w:pPr>
        <w:spacing w:after="20"/>
      </w:pP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/>
          <w:color w:val="234B62"/>
          <w:sz w:val="20"/>
        </w:rPr>
        <w:t>達標規則：</w:t>
      </w:r>
      <w:r>
        <w:rPr>
          <w:rFonts w:ascii="Microsoft JhengHei" w:hAnsi="Microsoft JhengHei" w:eastAsia="Microsoft JhengHei" w:cs="Microsoft JhengHei"/>
          <w:b w:val="0"/>
          <w:color w:val="172B35"/>
          <w:sz w:val="20"/>
        </w:rPr>
        <w:t>總分至少6/8，且D3&gt;0、D4&gt;0。未達標保留原始分數，另記補強與重測；不得刪列或改寫為通過。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等難度情境與執行資料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152"/>
        <w:gridCol w:w="2952"/>
        <w:gridCol w:w="2952"/>
        <w:gridCol w:w="2592"/>
      </w:tblGrid>
      <w:tr>
        <w:trPr>
          <w:tblHeader w:val="true"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情境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前測示例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後測示例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同等要求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目的與隱私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活動後談到家庭近況；志工不確定能否記錄及轉述。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電話關懷中對方談及不願公開的生活資訊並詢問保密。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說明目的、詢問同意、只記必要資訊、說清保密界線。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角色與轉介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對方問志工能否判斷身體不適原因。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對方請志工保證某項服務一定有效。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不診斷、不保證；說明適當專業聯繫路徑。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缺漏、重複與資料保存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440"/>
        <w:gridCol w:w="3672"/>
        <w:gridCol w:w="4536"/>
      </w:tblGrid>
      <w:tr>
        <w:trPr>
          <w:tblHeader w:val="true"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檢查點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本示範記錄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真實執行控制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同意與代碼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24列假設代碼；無姓名或聯絡方式。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未同意者不納入評量，只列合計與排除原因。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配對與重複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前後測配對24；重複代碼0。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以原件和日期核對；更正留軌跡，無法判定者列理由。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缺測與評分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缺測0；不以未達標作排除理由。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漏評不得補分；依事前規則列缺漏並報有效分母。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權限與保存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實際位置及存取權限UNKNOWN。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依核實保存期、權限、刪除和備份規則辦理。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r>
        <w:rPr>
          <w:rFonts w:ascii="Microsoft JhengHei" w:hAnsi="Microsoft JhengHei" w:eastAsia="Microsoft JhengHei" w:cs="Microsoft JhengHei"/>
          <w:b/>
          <w:color w:val="000000"/>
          <w:sz w:val="32"/>
        </w:rPr>
        <w:t>5　樣本批次、納入規則與資料流向</w:t>
      </w: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 w:val="0"/>
          <w:color w:val="172B35"/>
          <w:sz w:val="22"/>
        </w:rPr>
        <w:t>本批次所有資料都是SAMPLE/SYNTHETIC。假設樣本框為24名符合條件的學習者，A、B兩組各12名；以下日期、渠道、同意狀態及排除數均非實際協會紀錄。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699"/>
        <w:gridCol w:w="5112"/>
        <w:gridCol w:w="3125"/>
      </w:tblGrid>
      <w:tr>
        <w:trPr>
          <w:tblHeader w:val="true"/>
        </w:trPr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全批次示範值</w:t>
            </w:r>
          </w:p>
        </w:tc>
        <w:tc>
          <w:tcPr>
            <w:tcW w:type="dxa" w:w="31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真實替換與核對來源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母體與樣本框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假設24名參加者；A與B各12名。</w:t>
            </w:r>
          </w:p>
        </w:tc>
        <w:tc>
          <w:tcPr>
            <w:tcW w:type="dxa" w:w="31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正式招生範圍、課程對象及去識別樣本框。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納入與排除規則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預先假設：同意參與、完成前後兩次評量、D1–D4均可評才納入有效配對。未同意、缺任一測或缺評項須記理由。</w:t>
            </w:r>
          </w:p>
        </w:tc>
        <w:tc>
          <w:tcPr>
            <w:tcW w:type="dxa" w:w="31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納入規則版本、同意紀錄、逐筆缺漏及排除清單。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日期與執行渠道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A組2026-09-08；B組2026-09-15。模擬紙本情境卡及匿名評分表。</w:t>
            </w:r>
          </w:p>
        </w:tc>
        <w:tc>
          <w:tcPr>
            <w:tcW w:type="dxa" w:w="31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實際日期、課程簽到、使用工具及原始評量表。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代碼與同意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A01–A12、B01–B12為合成代碼；假設同意24/24；不含姓名、電話或簽名。</w:t>
            </w:r>
          </w:p>
        </w:tc>
        <w:tc>
          <w:tcPr>
            <w:tcW w:type="dxa" w:w="31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合法同意及代碼對照保管方式；公開版只留去識別資料。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缺漏、重複與更正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有效24；缺漏0；重複0；排除0。B08加總覆核見§7；沒有其他更正。</w:t>
            </w:r>
          </w:p>
        </w:tc>
        <w:tc>
          <w:tcPr>
            <w:tcW w:type="dxa" w:w="31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原始列、重複檢查、差異版次、更正人及日期。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保存與存取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本候選無個資；協會實際保存位置、權限和期限均UNKNOWN。</w:t>
            </w:r>
          </w:p>
        </w:tc>
        <w:tc>
          <w:tcPr>
            <w:tcW w:type="dxa" w:w="31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協會核實的權限表、保存年限、刪除和備份紀錄。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樣本流向與分母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01"/>
        <w:gridCol w:w="835"/>
        <w:gridCol w:w="2333"/>
        <w:gridCol w:w="4867"/>
      </w:tblGrid>
      <w:tr>
        <w:trPr>
          <w:tblHeader w:val="true"/>
        </w:trPr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階段</w:t>
            </w:r>
          </w:p>
        </w:tc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筆數</w:t>
            </w:r>
          </w:p>
        </w:tc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計算／判定</w:t>
            </w:r>
          </w:p>
        </w:tc>
        <w:tc>
          <w:tcPr>
            <w:tcW w:type="dxa" w:w="48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說明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接觸合格樣本框</w:t>
            </w:r>
          </w:p>
        </w:tc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24</w:t>
            </w:r>
          </w:p>
        </w:tc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—</w:t>
            </w:r>
          </w:p>
        </w:tc>
        <w:tc>
          <w:tcPr>
            <w:tcW w:type="dxa" w:w="48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假設樣本框，不是協會名冊。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發出邀請</w:t>
            </w:r>
          </w:p>
        </w:tc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24</w:t>
            </w:r>
          </w:p>
        </w:tc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24/24</w:t>
            </w:r>
          </w:p>
        </w:tc>
        <w:tc>
          <w:tcPr>
            <w:tcW w:type="dxa" w:w="48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全數受邀，尚非回收數。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收到成對前後測</w:t>
            </w:r>
          </w:p>
        </w:tc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24</w:t>
            </w:r>
          </w:p>
        </w:tc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24/24</w:t>
            </w:r>
          </w:p>
        </w:tc>
        <w:tc>
          <w:tcPr>
            <w:tcW w:type="dxa" w:w="48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A組12、B組12；以代碼配對。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有效成對資料</w:t>
            </w:r>
          </w:p>
        </w:tc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24</w:t>
            </w:r>
          </w:p>
        </w:tc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有效率=24/24=100%</w:t>
            </w:r>
          </w:p>
        </w:tc>
        <w:tc>
          <w:tcPr>
            <w:tcW w:type="dxa" w:w="48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有效率=有效數÷回收成對數；分母是回收數。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排除／缺漏</w:t>
            </w:r>
          </w:p>
        </w:tc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0</w:t>
            </w:r>
          </w:p>
        </w:tc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0筆</w:t>
            </w:r>
          </w:p>
        </w:tc>
        <w:tc>
          <w:tcPr>
            <w:tcW w:type="dxa" w:w="48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沒有因未達標而排除的列。</w:t>
            </w:r>
          </w:p>
        </w:tc>
      </w:tr>
    </w:tbl>
    <w:p>
      <w:pPr>
        <w:spacing w:after="20"/>
      </w:pP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 w:val="0"/>
          <w:color w:val="53656D"/>
          <w:sz w:val="19"/>
        </w:rPr>
        <w:t>若成對回收數為0，有效率應寫N/A並註明無回收分母，不可填0%。24/24有效率只表示資料可計算，不等於達標率或學習效果。</w:t>
      </w: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 w:val="0"/>
          <w:color w:val="172B35"/>
          <w:sz w:val="19"/>
        </w:rPr>
        <w:t>共同欄位定義：每列保留case_id、合成日期、組別、渠道、同意／納入判定、D1–D4前後向量、缺漏／重複狀態及更正理由。真實執行時，原始附件路徑及覆核角色須可追查。</w:t>
      </w:r>
    </w:p>
    <w:p>
      <w:pPr>
        <w:pStyle w:val="Heading1"/>
        <w:keepNext/>
        <w:pageBreakBefore/>
      </w:pPr>
      <w:r>
        <w:rPr>
          <w:rFonts w:ascii="Microsoft JhengHei" w:hAnsi="Microsoft JhengHei" w:eastAsia="Microsoft JhengHei" w:cs="Microsoft JhengHei"/>
          <w:b/>
          <w:color w:val="000000"/>
          <w:sz w:val="32"/>
        </w:rPr>
        <w:t>6　完整示範批次：比較組 A</w:t>
      </w: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 w:val="0"/>
          <w:color w:val="172B35"/>
          <w:sz w:val="22"/>
        </w:rPr>
        <w:t>A組示範日期為2026-09-08，渠道為模擬紙本情境評量；本列共同假設同意且符合納入規則。講授為主設計並非協會既有課程。向量順序D1/D2/D3/D4，合計與差值可直接重算。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A組逐筆結果｜講授為主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835"/>
        <w:gridCol w:w="1987"/>
        <w:gridCol w:w="720"/>
        <w:gridCol w:w="1987"/>
        <w:gridCol w:w="720"/>
        <w:gridCol w:w="792"/>
        <w:gridCol w:w="1224"/>
      </w:tblGrid>
      <w:tr>
        <w:trPr>
          <w:tblHeader w:val="true"/>
        </w:trPr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代碼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前測 D1/D2/D3/D4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前測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後測 D1/D2/D3/D4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後測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差值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判定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A01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1/1/1/0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3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1/1/1/1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4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+1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未達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A02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1/1/1/1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4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1/1/1/2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5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+1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未達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A03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0/1/1/0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1/1/1/0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3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+1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未達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A04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1/1/1/2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5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2/1/1/2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6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+1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達標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A05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1/1/1/0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3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1/1/1/1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4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+1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未達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A06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1/1/1/1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4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1/1/1/2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5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+1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未達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A07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1/1/1/2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5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2/1/1/2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6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+1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達標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A08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0/1/1/0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1/1/1/0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3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+1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未達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A09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1/1/1/1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4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1/1/1/2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5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+1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未達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A10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1/1/1/0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3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1/1/1/1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4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+1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未達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A11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1/1/1/2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5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2/1/2/2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7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+2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達標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A12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1/1/1/1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4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1/1/1/2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5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+1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未達</w:t>
            </w:r>
          </w:p>
        </w:tc>
      </w:tr>
    </w:tbl>
    <w:p>
      <w:pPr>
        <w:spacing w:after="20"/>
      </w:pP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/>
          <w:color w:val="234B62"/>
          <w:sz w:val="19"/>
        </w:rPr>
        <w:t>A組小計：</w:t>
      </w:r>
      <w:r>
        <w:rPr>
          <w:rFonts w:ascii="Microsoft JhengHei" w:hAnsi="Microsoft JhengHei" w:eastAsia="Microsoft JhengHei" w:cs="Microsoft JhengHei"/>
          <w:b w:val="0"/>
          <w:color w:val="172B35"/>
          <w:sz w:val="19"/>
        </w:rPr>
        <w:t>前測總分44、後測總分57；平均由44/12=3.67升至57/12=4.75，平均增益13/12=1.08分；後測3/12達標，D3或D4為0者2/12。</w:t>
      </w:r>
    </w:p>
    <w:p>
      <w:pPr>
        <w:pStyle w:val="Heading1"/>
        <w:keepNext/>
        <w:pageBreakBefore/>
      </w:pPr>
      <w:r>
        <w:rPr>
          <w:rFonts w:ascii="Microsoft JhengHei" w:hAnsi="Microsoft JhengHei" w:eastAsia="Microsoft JhengHei" w:cs="Microsoft JhengHei"/>
          <w:b/>
          <w:color w:val="000000"/>
          <w:sz w:val="32"/>
        </w:rPr>
        <w:t>7　完整示範批次：修訂組 B</w:t>
      </w: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 w:val="0"/>
          <w:color w:val="172B35"/>
          <w:sz w:val="22"/>
        </w:rPr>
        <w:t>B組是假設的同為120分鐘、加入情境演練、行為量尺與回饋的修訂設計。總時數、前後測計分及達標門檻與A組一致；兩組並非隨機分派。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B組逐筆結果｜情境練習與回饋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835"/>
        <w:gridCol w:w="1987"/>
        <w:gridCol w:w="720"/>
        <w:gridCol w:w="1987"/>
        <w:gridCol w:w="720"/>
        <w:gridCol w:w="792"/>
        <w:gridCol w:w="1224"/>
      </w:tblGrid>
      <w:tr>
        <w:trPr>
          <w:tblHeader w:val="true"/>
        </w:trPr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代碼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前測 D1/D2/D3/D4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前測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後測 D1/D2/D3/D4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後測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差值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判定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B01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1/0/1/1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3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2/2/2/1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7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+4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達標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B02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1/2/0/1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4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2/2/1/2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7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+3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達標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B03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0/1/1/0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1/2/1/2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6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+4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達標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B04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1/1/1/2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5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2/2/2/2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8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+3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達標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B05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0/1/1/1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3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1/2/1/2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6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+3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達標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B06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2/1/0/1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4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2/1/1/2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6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+2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達標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B07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2/1/1/1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5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2/1/2/2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7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+2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達標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B08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0/1/0/1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1/1/1/2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5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+3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未達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B09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1/1/1/1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4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2/2/2/2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8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+4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達標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B10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1/1/0/1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3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1/2/1/2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6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+3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達標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B11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1/2/1/1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5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2/2/1/2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7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+2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達標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B12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1/0/2/1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4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1/1/2/2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6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+2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達標</w:t>
            </w:r>
          </w:p>
        </w:tc>
      </w:tr>
    </w:tbl>
    <w:p>
      <w:pPr>
        <w:spacing w:after="20"/>
      </w:pP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/>
          <w:color w:val="234B62"/>
          <w:sz w:val="19"/>
        </w:rPr>
        <w:t>B組小計：</w:t>
      </w:r>
      <w:r>
        <w:rPr>
          <w:rFonts w:ascii="Microsoft JhengHei" w:hAnsi="Microsoft JhengHei" w:eastAsia="Microsoft JhengHei" w:cs="Microsoft JhengHei"/>
          <w:b w:val="0"/>
          <w:color w:val="172B35"/>
          <w:sz w:val="19"/>
        </w:rPr>
        <w:t>前測總分44、後測總分79；平均由44/12=3.67升至79/12=6.58，平均增益35/12=2.92分；後測11/12達標，D3或D4為0者0/12。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異常覆核 SYN-ANOMALY-001</w:t>
      </w: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 w:val="0"/>
          <w:color w:val="172B35"/>
          <w:sz w:val="22"/>
        </w:rPr>
        <w:t>B08後測向量1/1/1/2，加總為1+1+1+2=5分，低於6分門檻。覆核後與表列總分一致；D3=1、D4=2，關鍵界線通過。保留「未達標」，不刪除此筆、不補分，也不以回饋後重試分數覆寫正式後測。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613"/>
        <w:gridCol w:w="2952"/>
        <w:gridCol w:w="3528"/>
        <w:gridCol w:w="2232"/>
      </w:tblGrid>
      <w:tr>
        <w:trPr>
          <w:tblHeader w:val="true"/>
        </w:trPr>
        <w:tc>
          <w:tcPr>
            <w:tcW w:type="dxa" w:w="1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異常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核對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處置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資料影響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B08總分不足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原始向量重算5，與列值一致。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保留有效列並標未達；補練後須另建重測紀錄。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分母仍24；B組達標分子仍11。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r>
        <w:rPr>
          <w:rFonts w:ascii="Microsoft JhengHei" w:hAnsi="Microsoft JhengHei" w:eastAsia="Microsoft JhengHei" w:cs="Microsoft JhengHei"/>
          <w:b/>
          <w:color w:val="000000"/>
          <w:sz w:val="32"/>
        </w:rPr>
        <w:t>8　計算、結果與可歸因界線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800"/>
        <w:gridCol w:w="2016"/>
        <w:gridCol w:w="2016"/>
        <w:gridCol w:w="4104"/>
      </w:tblGrid>
      <w:tr>
        <w:trPr>
          <w:tblHeader w:val="true"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講授為主 A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修訂設計 B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重算方式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有效成對樣本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12/12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12/12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各組有效列數。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平均前測（0–8）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44/12=3.67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44/12=3.67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前測各列向量加總÷12。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平均後測（0–8）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57/12=4.75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79/12=6.58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後測各列向量加總÷12。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平均增益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(57−44)/12=1.08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(79−44)/12=2.92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平均後測−平均前測，單位分。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後測達標率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3/12=25.0%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11/12=91.7%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總分≥6且D3、D4均&gt;0。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關鍵項為0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2/12=16.7%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0/12=0%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D3或D4任一為0；分母各組12。</w:t>
            </w:r>
          </w:p>
        </w:tc>
      </w:tr>
    </w:tbl>
    <w:p>
      <w:pPr>
        <w:spacing w:after="2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26480" cy="27388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thetic_prepost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38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兩組差異怎麼讀</w:t>
      </w: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 w:val="0"/>
          <w:color w:val="172B35"/>
          <w:sz w:val="22"/>
        </w:rPr>
        <w:t>平均增益差=(79−44)/12−(57−44)/12=22/12=1.83分（0–8量尺）。後測達標率差=11/12−3/12=8/12=66.7個百分點。有效率24/24=100%是資料可用比例，不是學習成效；達標率按各組有效樣本計算。</w:t>
      </w: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 w:val="0"/>
          <w:color w:val="172B35"/>
          <w:sz w:val="22"/>
        </w:rPr>
        <w:t>示範判讀：B組達標率高於事前設定的80%，且關鍵項為0者為0；本案例內可記為「建議下一輪小規模續試，並對B08補強」。這不是協會已核准或已採行。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限制與退件條件</w:t>
      </w: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 w:val="0"/>
          <w:color w:val="172B35"/>
          <w:sz w:val="22"/>
        </w:rPr>
        <w:t>兩組都是合成小樣本，未隨機分派，也沒有真實出席、需求、評分者一致性或外部來源。基線平均相同只是示範資料設計，不能推論改善造成差異、母群效果或協會實際成效。</w:t>
      </w: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 w:val="0"/>
          <w:color w:val="172B35"/>
          <w:sz w:val="20"/>
        </w:rPr>
        <w:t>分母不明、量尺不一致、逐筆加總錯誤、以不及格為由刪列、關鍵項為0仍算通過、重複或缺漏未揭露、合成事實未登錄、虛構核准，任一出現即退回受影響內容。</w:t>
      </w:r>
    </w:p>
    <w:p>
      <w:pPr>
        <w:pStyle w:val="Heading1"/>
        <w:keepNext/>
        <w:pageBreakBefore/>
      </w:pPr>
      <w:r>
        <w:rPr>
          <w:rFonts w:ascii="Microsoft JhengHei" w:hAnsi="Microsoft JhengHei" w:eastAsia="Microsoft JhengHei" w:cs="Microsoft JhengHei"/>
          <w:b/>
          <w:color w:val="000000"/>
          <w:sz w:val="32"/>
        </w:rPr>
        <w:t>9　後續處理、真實替換與查核索引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本例示範的後續工作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181"/>
        <w:gridCol w:w="3816"/>
        <w:gridCol w:w="2232"/>
        <w:gridCol w:w="2707"/>
      </w:tblGrid>
      <w:tr>
        <w:trPr>
          <w:tblHeader w:val="true"/>
        </w:trPr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時點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工作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責任角色（示範）</w:t>
            </w:r>
          </w:p>
        </w:tc>
        <w:tc>
          <w:tcPr>
            <w:tcW w:type="dxa" w:w="27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完成判定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執行前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取得正式課程版次，確認對象、評量用途及量尺版本。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課程承辦角色</w:t>
            </w:r>
          </w:p>
        </w:tc>
        <w:tc>
          <w:tcPr>
            <w:tcW w:type="dxa" w:w="27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有版本、來源和授權依據。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每次執行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記錄邀請、同意、配對、缺漏、排除及異常。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執行／資料角色</w:t>
            </w:r>
          </w:p>
        </w:tc>
        <w:tc>
          <w:tcPr>
            <w:tcW w:type="dxa" w:w="27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分母可重算，逐筆值可追源。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課後覆核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非原評分者抽核原始表與加總；更正留初值及理由。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覆核角色</w:t>
            </w:r>
          </w:p>
        </w:tc>
        <w:tc>
          <w:tcPr>
            <w:tcW w:type="dxa" w:w="27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範圍、差異、處置留痕。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下一輪前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比較真實基線與修訂結果；說明組成和評分差異。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承辦角色</w:t>
            </w:r>
          </w:p>
        </w:tc>
        <w:tc>
          <w:tcPr>
            <w:tcW w:type="dxa" w:w="27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限制、失敗個案及再測時點明確。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改成真實紀錄前的替換清單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color w:val="172B35"/>
          <w:sz w:val="20"/>
        </w:rPr>
        <w:t>核對正式機構名稱、課程代碼、計畫版次及具權限的承辦角色。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color w:val="172B35"/>
          <w:sz w:val="20"/>
        </w:rPr>
        <w:t>取得原版與修訂版課程計畫、需求／職能來源及變更記錄。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color w:val="172B35"/>
          <w:sz w:val="20"/>
        </w:rPr>
        <w:t>以真實日期、納入規則、邀請／同意、前後測原表、出席及排除紀錄替換樣本。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color w:val="172B35"/>
          <w:sz w:val="20"/>
        </w:rPr>
        <w:t>核驗評分者權限、量尺版次、校準、原始值、更正軌跡和資料保管權限。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color w:val="172B35"/>
          <w:sz w:val="20"/>
        </w:rPr>
        <w:t>重算有效率、平均分、增益、達標率、關鍵項與限制；缺正式核准或簽章時保留UNKNOWN。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color w:val="172B35"/>
          <w:sz w:val="20"/>
        </w:rPr>
        <w:t>逐筆更新 replacement register，記錄原件位置、去識別方式和覆核人。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官方與專案來源索引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016"/>
        <w:gridCol w:w="7920"/>
      </w:tblGrid>
      <w:tr>
        <w:trPr>
          <w:tblHeader w:val="true"/>
        </w:trP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來源</w:t>
            </w:r>
          </w:p>
        </w:tc>
        <w:tc>
          <w:tcPr>
            <w:tcW w:type="dxa" w:w="79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定位與用途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官方評核依據</w:t>
            </w:r>
          </w:p>
        </w:tc>
        <w:tc>
          <w:tcPr>
            <w:tcW w:type="dxa" w:w="79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訓練機構版佐證表 I08 p.2、續頁 p.3；PDF SHA記於SOURCE_MAP.md。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正式項次與藍圖</w:t>
            </w:r>
          </w:p>
        </w:tc>
        <w:tc>
          <w:tcPr>
            <w:tcW w:type="dxa" w:w="79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0038→I08-E02→官方序號039；對照目前Blueprint row、142序列及01/02/03規格。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相鄰要求</w:t>
            </w:r>
          </w:p>
        </w:tc>
        <w:tc>
          <w:tcPr>
            <w:tcW w:type="dxa" w:w="79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0037/I08-E01為多期設計檢討；0039/I08-E03為規劃會議。本案例不宣稱同案。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合成事實清冊</w:t>
            </w:r>
          </w:p>
        </w:tc>
        <w:tc>
          <w:tcPr>
            <w:tcW w:type="dxa" w:w="79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SYNTHETIC_REPLACEMENT_REGISTER.csv含case_id、doc_id、定位、REAL原件及核實角色。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版本收據</w:t>
            </w:r>
          </w:p>
        </w:tc>
        <w:tc>
          <w:tcPr>
            <w:tcW w:type="dxa" w:w="79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SOURCE_MAP.md、BLUEPRINT_CURRENT_0038.jsonl、PROGRESS.json及manifest.json。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目前狀態</w:t>
      </w: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 w:val="0"/>
          <w:color w:val="172B35"/>
          <w:sz w:val="20"/>
        </w:rPr>
        <w:t>CANDIDATE / BUILT；獨立語意驗收尚未執行，協會正式接受未授與。此件只回應0038/I08-E02，不取代真實課程原件、0037跨期檢討或0039會議紀錄。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一次執行的控制順序（角色均為合成示範）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8"/>
        <w:gridCol w:w="1944"/>
        <w:gridCol w:w="4536"/>
        <w:gridCol w:w="2448"/>
      </w:tblGrid>
      <w:tr>
        <w:trPr>
          <w:tblHeader w:val="true"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階段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負責角色（均為示範）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操作與控制點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輸出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定位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承辦角色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記錄官方要求、課程版次與缺口；推測不可寫成事實。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問題與來源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比較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設計覆核角色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用事前權重評分三方案並保留取捨。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方案比較表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修訂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課程引導角色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將可觀察目標對到活動、評分行為和通過規則。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變更表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執行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引導者／觀察者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同時數、同量尺完成兩組示範；記錄樣本流向。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逐筆樣本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覆核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資料覆核角色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核對加總、配對、缺漏、排除及關鍵界線。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覆核軌跡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判讀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承辦角色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計算比例與增益，列限制及下一步。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成效判讀</w:t>
            </w:r>
          </w:p>
        </w:tc>
      </w:tr>
    </w:tbl>
    <w:p>
      <w:pPr>
        <w:spacing w:after="20"/>
      </w:pP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 w:val="0"/>
          <w:color w:val="53656D"/>
          <w:sz w:val="19"/>
        </w:rPr>
        <w:t>正式使用時須依協會實際章程、分工及資料權限確認角色；本表不構成現職指派或授權證據。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79" w:bottom="893" w:left="979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 w:cs="Microsoft JhengHei"/>
        <w:b w:val="0"/>
        <w:color w:val="53656D"/>
        <w:sz w:val="17"/>
      </w:rPr>
      <w:t xml:space="preserve">候選文件・SYNTHETIC　｜　第 </w:t>
    </w:r>
    <w:fldSimple w:instr="PAGE"/>
    <w:r>
      <w:rPr>
        <w:rFonts w:ascii="Microsoft JhengHei" w:hAnsi="Microsoft JhengHei" w:eastAsia="Microsoft JhengHei" w:cs="Microsoft JhengHei"/>
        <w:b w:val="0"/>
        <w:color w:val="53656D"/>
        <w:sz w:val="17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JhengHei" w:hAnsi="Microsoft JhengHei" w:eastAsia="Microsoft JhengHei" w:cs="Microsoft JhengHei"/>
        <w:b w:val="0"/>
        <w:color w:val="53656D"/>
        <w:sz w:val="17"/>
      </w:rPr>
      <w:t>0038｜I08-E02｜完整示範資料，不代表協會實績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4" w:lineRule="auto"/>
    </w:pPr>
    <w:rPr>
      <w:rFonts w:ascii="Microsoft JhengHei" w:hAnsi="Microsoft JhengHei" w:eastAsia="Microsoft JhengHei"/>
      <w:color w:val="172B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訓練方案系統設計改善執行與成效示範紀錄</dc:title>
  <dc:subject>TTQS ONE 0038 / I08-E02 / 官方序號039 / SAMPLE-SYNTHETIC</dc:subject>
  <dc:creator>TTQS ONE candidate document production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