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48"/>
        </w:rPr>
        <w:t>訓練方案系統設計改善執行與成效示範紀錄</w:t>
      </w:r>
    </w:p>
    <w:p>
      <w:pPr>
        <w:spacing w:after="160" w:line="274" w:lineRule="auto"/>
      </w:pPr>
      <w:r>
        <w:rPr>
          <w:rFonts w:ascii="Microsoft JhengHei" w:hAnsi="Microsoft JhengHei" w:eastAsia="Microsoft JhengHei" w:cs="Microsoft JhengHei"/>
          <w:b w:val="0"/>
          <w:color w:val="234B62"/>
          <w:sz w:val="24"/>
        </w:rPr>
        <w:t>文件 0038　｜　I08-E02　｜　官方具名方框序號 039</w:t>
      </w:r>
    </w:p>
    <w:p>
      <w:pPr>
        <w:spacing w:after="180" w:line="274" w:lineRule="auto"/>
      </w:pPr>
      <w:r>
        <w:rPr>
          <w:rFonts w:ascii="Microsoft JhengHei" w:hAnsi="Microsoft JhengHei" w:eastAsia="Microsoft JhengHei" w:cs="Microsoft JhengHei"/>
          <w:b w:val="0"/>
          <w:color w:val="8A4B16"/>
          <w:sz w:val="21"/>
        </w:rPr>
        <w:t>SAMPLE / SYNTHETIC COMPLETE EXAMPLE｜非原始點協會實際辦訓、核准、簽署或成效紀錄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這份紀錄供誰使用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供小型訓練機構承辦人檢討一項課程設計、記錄實際修改，並用同一量尺核對執行結果。行政人員可按本件順序完成找出缺口、比較方案、修訂課程、記錄樣本、重算結果及決定下一步；評核委員可查看官方需求、逐筆資料和判讀限制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本例的示範結論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完全虛構的兩組各12人資料中，講授為主組後測達標3/12（25.0%）；加入情境演練與回饋組達標11/12（91.7%）。修訂組平均分增加2.92/8分，對照組增加1.08/8分，兩組增益差1.83分。這些數字只示範記錄與計算，既非協會實績，也不能證明因果效果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唯一命題：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訓練設計改善是否有事前假設、可比較選項、具體改動、可重算執行結果及有限度的後續決定。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案例：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SYN-I08E02-2026-01；假設課程「社區關懷志工服務溝通與轉介界線」。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資料狀態：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全篇日期、角色、課程、樣本、量尺、分數、決定均為合成示範；沒有任何真人或協會原始紀錄。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來源定位：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官方訓練機構版佐證表 I08 p.2；p.3為相鄰項續頁。本件對應 I08-E02。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使用方式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實際使用時，將 SAMPLE 欄位換成經授權可查的課程版本、執行與評量資料，再保存附件位置、去識別方式及覆核軌跡。沒有真實資料時，保留本件為示範稿，不得勾選成協會已執行或正式通過。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　官方要求與本件工作邊界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官方文字：「針對訓練方案的系統設計能適時檢討及改善，執行後有良好效果。」本件以一項課程設計的缺口、替代方案、設計變更、執行記錄和結果判讀回應此命題；不以會議形式取代實際改善證據。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5976"/>
        <w:gridCol w:w="2448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對照項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本件如何處理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官方定位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I08-E02；官方方框序號039；資料表p.2，續頁p.3。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本頁及來源索引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0038文類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執行與樣本紀錄；呈現操作流向、逐筆示範、計算和後續處置。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§2、§5–§9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0037負向鄰項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I08-E01重點是跨期設計變化；本件記錄一項改善的執行與效果，不代替跨期檢討。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差異說明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0039負向鄰項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I08-E03重點是規劃會議議程、意見、決議及追蹤；本件沒有假造會議或核准。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差異說明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真實界線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協會原始執行未驗證；案例獨立，不宣稱與0037或0039共用事實。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替換清冊與來源圖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合成案例的前提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本例假設承辦人發現講授與知識測驗不足以觀察志工的溝通、隱私及轉介界線，因此提出加入短情境演練的假設。這不是對原始點協會現行課程、服務對象、工作角色或既往成效的陳述。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74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improvem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7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2　設計缺口、觀察與方案比較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示範問題與可檢驗假設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合成基準設計假設為120分鐘講授為主，評量集中於知識題。它能檢查記憶，卻未直接觀察學習者是否說明服務目的、取得同意、保護資訊、守住非醫療界線並作適當轉介。此處只是示範設計假設，不是查得的協會課程缺陷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假設：總時數、課程目標、量尺和評量時點相同時，以35分鐘情境演練與回饋取代部分講授，會提高學習者在等難度情境中展現目標行為的比例。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比較方案與示範評分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各項1–5分，5分代表較符合；加權分＝Σ（分數×權重），總分上限5.00。權重先於評分設定，合計100%。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2232"/>
        <w:gridCol w:w="3024"/>
        <w:gridCol w:w="2520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準則／權重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A 增加講義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 情境演練＋回饋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 外聘全日實作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可觀察行為證據 40%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2×.40=.80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5×.40=2.00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5×.40=2.00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小型課程可執行 25%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5×.25=1.25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4×.25=1.00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2×.25=.50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隱私／非醫療界線 20%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3×.20=.60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5×.20=1.00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5×.20=1.00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結果可追溯 15%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2×.15=.30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5×.15=.75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4×.15=.60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加權總分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2.95/5.00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4.75/5.00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4.10/5.00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示範取捨：B得分最高且不增加總時數，以可觀察行為與回饋替代部分講授。A成本較低，但仍不能直接檢查行為；C觀察力較高，卻需更多經費及外部師資。上述分數與選擇是假設值，沒有協會正式決議。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從缺口到可驗證結果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2880"/>
        <w:gridCol w:w="2520"/>
        <w:gridCol w:w="2736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設計缺口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具體修改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可查結果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事前判定規則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只用知識題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加入情境演練，評D1、D2。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前後測向量及評分表。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總分≥6/8。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服務界線混淆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加入界線示範、兩情境練習和回饋。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D3、D4分數及異常覆核。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D3、D4均&gt;0。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改善無固定口徑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兩組同時數、同量尺、配對前後測。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逐筆資料、有效數和增益。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B達標率≥80%，關鍵失誤=0才建議續試。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53656D"/>
          <w:sz w:val="21"/>
        </w:rPr>
        <w:t>本例沒有真實需求調查、職能盤點或先前實績支持此假設。真實執行時，須先附需求來源及版本差異再確認是否試作。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3　修訂後課程設計與執行安排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示範課程：「社區關懷志工服務溝通與轉介界線」。對象是假設的社區關懷志工學習者；不得推定協會已開辦。兩組總時數同為120分鐘。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120分鐘教學安排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79"/>
        <w:gridCol w:w="1944"/>
        <w:gridCol w:w="3816"/>
        <w:gridCol w:w="3197"/>
      </w:tblGrid>
      <w:tr>
        <w:trPr>
          <w:tblHeader w:val="true"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活動與方法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引導者操作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學習者產出／檢核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00–10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情境前測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說明匿名代碼及評分；發等難度情境卡。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完成四項行為前測。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10–20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目的、同意與拒絕權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示範先說明目的並詢問是否願意繼續。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重述可停止及改約界線。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20–40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開放提問與中性摘要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示範開放問句，區分聆聽、推測和承諾。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完成摘要並確認理解。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40–55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隱私及非醫療界線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比較必要資訊與多餘細節；示範停止並轉介。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指出何時不記、不建議、不代替專業判斷。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55–80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兩人一組演練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輪替服務者與觀察者，每人至少完整演練一次。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依D1–D4記錄可見行為。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80–105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個別後測情境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用另一等難度情境評分，不提示答案。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四項分數及簡短觀察事實。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105–115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回饋與重試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說明具體行為後給一次練習；正式分數不覆寫。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完成回饋練習，保留首測值。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115–120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轉用計畫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提示選一項下次可採行的服務行為。</w:t>
            </w:r>
          </w:p>
        </w:tc>
        <w:tc>
          <w:tcPr>
            <w:tcW w:type="dxa" w:w="31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記錄一項可觀察行動。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目標與證據對應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3888"/>
        <w:gridCol w:w="3672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可觀察目標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教學活動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評量證據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說明目的並取得同意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目的／拒絕權示範和演練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D1：先說明並取得同意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以開放問題理解需求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問句、摘要及理解確認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D2：開放提問與中性摘要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保護隱私並守住界線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必要資訊及非醫療界線情境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D3：隱私與角色界線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辨識超出角色問題並轉介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轉介流程示範及後測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D4：合宜路徑且不作保證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4　評量工具、量尺與資料控制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前後測用難度相當但不同的情境，避免直接重複答案；兩組使用同一量尺。每項0–2分，總分0–8；正式判定同時符合總分和關鍵項條件。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2131"/>
        <w:gridCol w:w="2131"/>
        <w:gridCol w:w="2880"/>
        <w:gridCol w:w="1181"/>
      </w:tblGrid>
      <w:tr>
        <w:trPr>
          <w:tblHeader w:val="true"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0分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1分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2分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關鍵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D1 目的與同意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直接追問或假定同意。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說明目的或詢問意願，未同時做到。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先說明目的，再詢問是否願意並接受拒絕。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D2 開放提問與摘要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誘導或封閉主導，未確認理解。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做到開放提問或摘要其中一項。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開放提問、中性摘要並確認理解。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 隱私與服務界線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不必要蒐集／揭露，或提供超出角色判斷。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保護部分資訊，但界線不完整。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只記必要資訊，明確不診斷、不承諾醫療效果。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D4 適當轉介與後續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未轉介，或作未確認保證。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指出資源但未說明下一步。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說明適當聯繫及可確認後續，不保證結果。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是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達標規則：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總分至少6/8，且D3&gt;0、D4&gt;0。未達標保留原始分數，另記補強與重測；不得刪列或改寫為通過。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等難度情境與執行資料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52"/>
        <w:gridCol w:w="2952"/>
        <w:gridCol w:w="2952"/>
        <w:gridCol w:w="2592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前測示例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後測示例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同等要求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目的與隱私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活動後談到家庭近況；志工不確定能否記錄及轉述。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電話關懷中對方談及不願公開的生活資訊並詢問保密。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說明目的、詢問同意、只記必要資訊、說清保密界線。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角色與轉介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對方問志工能否判斷身體不適原因。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對方請志工保證某項服務一定有效。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不診斷、不保證；說明適當專業聯繫路徑。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缺漏、重複與資料保存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3672"/>
        <w:gridCol w:w="4536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檢查點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本示範記錄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真實執行控制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同意與代碼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24列假設代碼；無姓名或聯絡方式。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未同意者不納入評量，只列合計與排除原因。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配對與重複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前後測配對24；重複代碼0。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以原件和日期核對；更正留軌跡，無法判定者列理由。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缺測與評分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缺測0；不以未達標作排除理由。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漏評不得補分；依事前規則列缺漏並報有效分母。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權限與保存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實際位置及存取權限UNKNOWN。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依核實保存期、權限、刪除和備份規則辦理。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5　樣本批次、納入規則與資料流向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本批次所有資料都是SAMPLE/SYNTHETIC。假設樣本框為24名符合條件的學習者，A、B兩組各12名；以下日期、渠道、同意狀態及排除數均非實際協會紀錄。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99"/>
        <w:gridCol w:w="5112"/>
        <w:gridCol w:w="3125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全批次示範值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真實替換與核對來源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母體與樣本框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假設24名參加者；A與B各12名。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正式招生範圍、課程對象及去識別樣本框。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納入與排除規則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預先假設：同意參與、完成前後兩次評量、D1–D4均可評才納入有效配對。未同意、缺任一測或缺評項須記理由。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納入規則版本、同意紀錄、逐筆缺漏及排除清單。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日期與執行渠道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A組2026-09-08；B組2026-09-15。模擬紙本情境卡及匿名評分表。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實際日期、課程簽到、使用工具及原始評量表。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代碼與同意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A01–A12、B01–B12為合成代碼；假設同意24/24；不含姓名、電話或簽名。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合法同意及代碼對照保管方式；公開版只留去識別資料。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缺漏、重複與更正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有效24；缺漏0；重複0；排除0。B08加總覆核見§7；沒有其他更正。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原始列、重複檢查、差異版次、更正人及日期。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保存與存取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本候選無個資；協會實際保存位置、權限和期限均UNKNOWN。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協會核實的權限表、保存年限、刪除和備份紀錄。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樣本流向與分母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01"/>
        <w:gridCol w:w="835"/>
        <w:gridCol w:w="2333"/>
        <w:gridCol w:w="4867"/>
      </w:tblGrid>
      <w:tr>
        <w:trPr>
          <w:tblHeader w:val="true"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筆數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計算／判定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接觸合格樣本框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—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假設樣本框，不是協會名冊。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發出邀請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24/24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全數受邀，尚非回收數。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收到成對前後測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24/24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A組12、B組12；以代碼配對。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有效成對資料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24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有效率=24/24=100%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有效率=有效數÷回收成對數；分母是回收數。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排除／缺漏</w:t>
            </w:r>
          </w:p>
        </w:tc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</w:t>
            </w:r>
          </w:p>
        </w:tc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0筆</w:t>
            </w:r>
          </w:p>
        </w:tc>
        <w:tc>
          <w:tcPr>
            <w:tcW w:type="dxa" w:w="48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沒有因未達標而排除的列。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53656D"/>
          <w:sz w:val="21"/>
        </w:rPr>
        <w:t>若成對回收數為0，有效率應寫N/A並註明無回收分母，不可填0%。24/24有效率只表示資料可計算，不等於達標率或學習效果。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共同欄位定義：每列保留case_id、合成日期、組別、渠道、同意／納入判定、D1–D4前後向量、缺漏／重複狀態及更正理由。真實執行時，原始附件路徑及覆核角色須可追查。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6　完整示範批次：比較組 A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A組示範日期為2026-09-08，渠道為模擬紙本情境評量；各列同意／納入與缺漏、重複、更正狀態見附表A。講授為主設計並非協會既有課程。向量順序D1/D2/D3/D4，合計與差值可直接重算。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A組逐筆結果｜講授為主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35"/>
        <w:gridCol w:w="1987"/>
        <w:gridCol w:w="720"/>
        <w:gridCol w:w="1987"/>
        <w:gridCol w:w="720"/>
        <w:gridCol w:w="792"/>
        <w:gridCol w:w="1224"/>
      </w:tblGrid>
      <w:tr>
        <w:trPr>
          <w:tblHeader w:val="true"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差值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A06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A07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A08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A09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A組小計：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前測總分44、後測總分57；平均由44/12=3.67升至57/12=4.75，平均增益13/12=1.08分；後測3/12達標，D3或D4為0者2/12。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7　完整示範批次：修訂組 B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B組是假設的同為120分鐘、加入情境演練、行為量尺與回饋的修訂設計。總時數、前後測計分及達標門檻與A組一致；兩組並非隨機分派。各列渠道、同意／納入與資料狀態見附表A。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B組逐筆結果｜情境練習與回饋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35"/>
        <w:gridCol w:w="1987"/>
        <w:gridCol w:w="720"/>
        <w:gridCol w:w="1987"/>
        <w:gridCol w:w="720"/>
        <w:gridCol w:w="792"/>
        <w:gridCol w:w="1224"/>
      </w:tblGrid>
      <w:tr>
        <w:trPr>
          <w:tblHeader w:val="true"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 D1/D2/D3/D4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差值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1/0/1/1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2/2/2/1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0/1/1/0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B06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B07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B08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B09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1/1/0/1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B11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1/2/1/1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2/2/1/2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B12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1/0/2/1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1/1/2/2</w:t>
            </w:r>
          </w:p>
        </w:tc>
        <w:tc>
          <w:tcPr>
            <w:tcW w:type="dxa" w:w="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+2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達標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/>
          <w:color w:val="234B62"/>
          <w:sz w:val="21"/>
        </w:rPr>
        <w:t>B組小計：</w:t>
      </w: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前測總分44、後測總分79；平均由44/12=3.67升至79/12=6.58，平均增益35/12=2.92分；後測11/12達標，D3或D4為0者0/12。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異常覆核 SYN-ANOMALY-001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B08後測向量1/1/1/2，加總為1+1+1+2=5分，低於6分門檻。覆核後與表列總分一致；D3=1、D4=2，關鍵界線通過。保留「未達標」，不刪除此筆、不補分，也不以回饋後重試分數覆寫正式後測。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2952"/>
        <w:gridCol w:w="3528"/>
        <w:gridCol w:w="2232"/>
      </w:tblGrid>
      <w:tr>
        <w:trPr>
          <w:tblHeader w:val="true"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異常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資料影響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B08總分不足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原始向量重算5，與列值一致。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保留有效列並標未達；補練後須另建重測紀錄。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分母仍24；B組達標分子仍11。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8　計算、結果與可歸因界線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2016"/>
        <w:gridCol w:w="2016"/>
        <w:gridCol w:w="4104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講授為主 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修訂設計 B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重算方式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有效成對樣本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12/12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12/12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各組有效列數。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平均前測（0–8）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44/12=3.67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44/12=3.67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前測各列向量加總÷12。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平均後測（0–8）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57/12=4.75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79/12=6.58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後測各列向量加總÷12。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平均增益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(57−44)/12=1.08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(79−44)/12=2.92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平均後測−平均前測，單位分。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後測達標率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3/12=25.0%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11/12=91.7%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總分≥6且D3、D4均&gt;0。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關鍵項為0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2/12=16.7%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0/12=0%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D3或D4任一為0；分母各組12。</w:t>
            </w:r>
          </w:p>
        </w:tc>
      </w:tr>
    </w:tbl>
    <w:p>
      <w:pPr>
        <w:spacing w:after="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738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prepos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兩組差異怎麼讀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平均增益差=(79−44)/12−(57−44)/12=22/12=1.83分（0–8量尺）。後測達標率差=11/12−3/12=8/12=66.7個百分點。有效率24/24=100%是資料可用比例，不是學習成效；達標率按各組有效樣本計算。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示範判讀：B組達標率高於事前設定的80%，且關鍵項為0者為0；本案例內可記為「建議下一輪小規模續試，並對B08補強」。這不是協會已核准或已採行。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限制與退件條件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兩組都是合成小樣本，未隨機分派，也沒有真實出席、需求、評分者一致性或外部來源。基線平均相同只是示範資料設計，不能推論改善造成差異、母群效果或協會實際成效。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分母不明、量尺不一致、逐筆加總錯誤、以不及格為由刪列、關鍵項為0仍算通過、重複或缺漏未揭露、合成事實未登錄、虛構核准，任一出現即退回受影響內容。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9　後續處理、真實替換與查核索引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本例示範的後續工作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81"/>
        <w:gridCol w:w="3816"/>
        <w:gridCol w:w="2232"/>
        <w:gridCol w:w="270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責任角色（示範）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完成判定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執行前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取得正式課程版次，確認對象、評量用途及量尺版本。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課程承辦角色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有版本、來源和授權依據。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每次執行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記錄邀請、同意、配對、缺漏、排除及異常。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執行／資料角色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分母可重算，逐筆值可追源。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課後覆核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非原評分者抽核原始表與加總；更正留初值及理由。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覆核角色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範圍、差異、處置留痕。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下一輪前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比較真實基線與修訂結果；說明組成和評分差異。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承辦角色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限制、失敗個案及再測時點明確。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改成真實紀錄前的替換清單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核對正式機構名稱、課程代碼、計畫版次及具權限的承辦角色。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取得原版與修訂版課程計畫、需求／職能來源及變更記錄。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以真實日期、納入規則、邀請／同意、前後測原表、出席及排除紀錄替換樣本。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核驗評分者權限、量尺版次、校準、原始值、更正軌跡和資料保管權限。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重算有效率、平均分、增益、達標率、關鍵項與限制；缺正式核准或簽章時保留UNKNOWN。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逐筆更新 replacement register，記錄原件位置、去識別方式和覆核人。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官方與專案來源索引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16"/>
        <w:gridCol w:w="7920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定位與用途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官方評核依據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訓練機構版佐證表 I08 p.2、續頁 p.3；PDF SHA記於SOURCE_MAP.md。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正式項次與藍圖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0038→I08-E02→官方序號039；對照目前Blueprint row、142序列及01/02/03規格。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相鄰要求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0037/I08-E01為多期設計檢討；0039/I08-E03為規劃會議。本案例不宣稱同案。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合成事實清冊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SYNTHETIC_REPLACEMENT_REGISTER.csv含case_id、doc_id、定位、REAL原件及核實角色。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官方要求逐項對照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附表B連結官方命題、紀錄欄位、來源、判定及覆核位置。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版本收據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SOURCE_MAP.md、BLUEPRINT_CURRENT_0038.jsonl、PROGRESS.json及manifest.json。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目前狀態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本件為CANDIDATE示範文件；逐項驗收狀態以隨附收據為準，協會正式接受未授與。此件只回應0038/I08-E02，不取代真實課程原件、0037跨期檢討或0039會議紀錄。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一次執行的控制順序（角色均為合成示範）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8"/>
        <w:gridCol w:w="1944"/>
        <w:gridCol w:w="4536"/>
        <w:gridCol w:w="2448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負責角色（均為示範）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操作與控制點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定位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承辦角色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記錄官方要求、課程版次與缺口；推測不可寫成事實。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問題與來源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比較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設計覆核角色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用事前權重評分三方案並保留取捨。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方案比較表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修訂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課程引導角色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將可觀察目標對到活動、評分行為和通過規則。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變更表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引導者／觀察者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同時數、同量尺完成兩組示範；記錄樣本流向。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逐筆樣本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覆核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資料覆核角色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核對加總、配對、缺漏、排除及關鍵界線。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覆核軌跡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判讀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承辦角色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計算比例與增益，列限制及下一步。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成效判讀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53656D"/>
          <w:sz w:val="21"/>
        </w:rPr>
        <w:t>正式使用時須依協會實際章程、分工及資料權限確認角色；本表不構成現職指派或授權證據。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附表A　24筆合成樣本逐列追溯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本表逐列連結§6、§7的A01–A12、B01–B12分數紀錄。渠道、同意及納入均為合成假設，並非真人同意或協會實際執行證明；各列均符合本例預設完整配對條件。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37"/>
        <w:gridCol w:w="2232"/>
        <w:gridCol w:w="3528"/>
        <w:gridCol w:w="2376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case_id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渠道（SYNTHETIC）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同意／納入判定（SYNTHETIC）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缺漏／重複／更正（SYNTHETIC）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A05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A06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A07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A08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A09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A12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B05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B06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B07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B08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B09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B12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模擬紙本情境卡／匿名評分表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同意=是（合成假設）；納入=是，原因：完成前後測且D1–D4均有評分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缺漏=0；重複=0；更正=0（未更動原值）</w:t>
            </w:r>
          </w:p>
        </w:tc>
      </w:tr>
    </w:tbl>
    <w:p>
      <w:pPr>
        <w:spacing w:after="20"/>
      </w:pP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1"/>
        </w:rPr>
        <w:t>狀態定義：缺漏=未完成前後測或量尺項；重複=重複代碼列；更正=對原始值有更動。真實執行不得把未知狀態填0，須保留原值、原因、核對人及日期。每列REAL替換所需原件為合法同意／納入依據、課程簽到、匿名化前後測原表及更正／覆核軌跡；缺一項即維持UNKNOWN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附表B　官方要求、紀錄欄位與覆核位置對照</w:t>
      </w:r>
    </w:p>
    <w:p>
      <w:pPr>
        <w:spacing w:after="100" w:line="274" w:lineRule="auto"/>
      </w:pPr>
      <w:r>
        <w:rPr>
          <w:rFonts w:ascii="Microsoft JhengHei" w:hAnsi="Microsoft JhengHei" w:eastAsia="Microsoft JhengHei" w:cs="Microsoft JhengHei"/>
          <w:b w:val="0"/>
          <w:color w:val="172B35"/>
          <w:sz w:val="22"/>
        </w:rPr>
        <w:t>本表把官方命題拆成可查的紀錄鏈。SAMPLE資料只示範欄位與計算；REAL欄列出升格前必須取得的原件，不代表原始點協會已持有或核准。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45"/>
        <w:gridCol w:w="2376"/>
        <w:gridCol w:w="2376"/>
        <w:gridCol w:w="2045"/>
        <w:gridCol w:w="1656"/>
      </w:tblGrid>
      <w:tr>
        <w:trPr>
          <w:tblHeader w:val="true"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官方命題／查核問題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本件紀錄欄位與位置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SAMPLE來源／REAL替換原件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判定與限制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34B62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覆核位置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訓練方案系統設計是否適時檢討並改善？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設計缺口、可檢驗假設、加權方案、修訂活動、目標與評量對應。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SAMPLE：§2–§4；REAL：原版／修訂課程計畫、需求或職能來源、版本差異及授權依據。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示範方案B加權4.75/5.00；此為假設選擇，非協會決議。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§2方案比較表；§3時程與目標表；§9替換清單。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執行後是否有良好效果？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樣本框、前後測量尺、24筆逐列結果、有效分母、達標與增益。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SAMPLE：§5–§8及附表A；REAL：出席、合法同意、匿名前後測原表、評分者權限與覆核紀錄。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A 3/12、B 11/12達標；合成小樣本、非隨機，不能推論因果或協會成效。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§5納入／樣本流向；§6–§7逐筆表；§8計算與限制。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每列資料能否追到執行狀態？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渠道、同意、納入理由、缺漏、重複及更正狀態。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SAMPLE：附表A逐列欄位與替換清冊；REAL：課程簽到、同意依據、逐筆原表、差異更正軌跡。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本例24列皆假設同意、納入，缺漏／重複／更正皆0；實際未知不得填0。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附表A；replacement register各SYN-A/B-ROW列；§5處理規則。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判定是否有來源且可覆核？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來源、公式、判定門檻、異常及限制。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SAMPLE：逐筆表、量尺、替換清冊；REAL：正式計畫、原始評量、核准量尺及資料權限記錄。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公式可重算；正式來源、核准與協會實績尚未驗證，維持SAMPLE。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B35"/>
                <w:sz w:val="19"/>
              </w:rPr>
              <w:t>§4量尺；§8彙總；§9來源索引；附表B。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53656D"/>
        <w:sz w:val="17"/>
      </w:rPr>
      <w:t xml:space="preserve">候選文件・SYNTHETIC　｜　第 </w:t>
    </w:r>
    <w:fldSimple w:instr="PAGE"/>
    <w:r>
      <w:rPr>
        <w:rFonts w:ascii="Microsoft JhengHei" w:hAnsi="Microsoft JhengHei" w:eastAsia="Microsoft JhengHei" w:cs="Microsoft JhengHei"/>
        <w:b w:val="0"/>
        <w:color w:val="53656D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 w:cs="Microsoft JhengHei"/>
        <w:b w:val="0"/>
        <w:color w:val="53656D"/>
        <w:sz w:val="17"/>
      </w:rPr>
      <w:t>0038｜I08-E02｜完整示範資料，不代表協會實績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Microsoft JhengHei" w:hAnsi="Microsoft JhengHei" w:eastAsia="Microsoft JhengHei"/>
      <w:color w:val="172B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訓練方案系統設計改善執行與成效示範紀錄</dc:title>
  <dc:subject>TTQS ONE 0038 / I08-E02 / 官方序號039 / SAMPLE-SYNTHETIC</dc:subject>
  <dc:creator>TTQS ONE candidate document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