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/>
          <w:b/>
          <w:color w:val="000000"/>
          <w:sz w:val="46"/>
        </w:rPr>
        <w:t>訓練資源採購與甄選管理辦法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4A5E6D"/>
          <w:sz w:val="24"/>
        </w:rPr>
        <w:t>訓練需求到履約結案的作業程序</w:t>
      </w:r>
    </w:p>
    <w:p>
      <w:pPr>
        <w:spacing w:before="0" w:after="12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本件依官方 I10-E01 佐證目的撰寫，說明如何依課程需求選擇師資、教材或合作廠商，並完成評估、採購、簽約、交付驗收與後續管理。案例數字、日期、角色、核定和結果均為 SAMPLE / SYNTHETIC，並非原始點協會實際採購、核准、辦訓或付款紀錄。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92"/>
        <w:gridCol w:w="4248"/>
      </w:tblGrid>
      <w:tr>
        <w:trPr>
          <w:tblHeader w:val="true"/>
          <w:cantSplit/>
        </w:trPr>
        <w:tc>
          <w:tcPr>
            <w:tcW w:type="dxa" w:w="144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文件資訊</w:t>
            </w:r>
          </w:p>
        </w:tc>
        <w:tc>
          <w:tcPr>
            <w:tcW w:type="dxa" w:w="43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424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使用方式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文件對應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DOCX 0045｜I10-E01｜官方方框 047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資源尚未選定、承諾費用或下單前使用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文類與讀者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標準作業程序；課程承辦、評選者、授權核定者及行政記錄人員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依第4章逐步留下需求、比較、核定、契約與履約紀錄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文件狀態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R01 SAMPLE / SYNTHETIC 草案；未生效、未經協會正式核定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先核對章程、實際授權、財務及保存規範，再決定是否採用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完成時應留下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需求與設計依據、資源規格、比較與利益迴避、核定、契約、驗收及績效紀錄</w:t>
            </w:r>
          </w:p>
        </w:tc>
        <w:tc>
          <w:tcPr>
            <w:tcW w:type="dxa" w:w="42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0046 是單案評選紀錄表；本辦法不代替其逐人原始評分</w:t>
            </w:r>
          </w:p>
        </w:tc>
      </w:tr>
    </w:tbl>
    <w:p>
      <w:pPr>
        <w:spacing w:after="20" w:before="20"/>
      </w:pP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30秒使用說明</w:t>
      </w:r>
    </w:p>
    <w:p>
      <w:pPr>
        <w:pStyle w:val="ListBullet"/>
        <w:spacing w:after="60" w:line="25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誰使用：承辦人提出需求並整理資料；未參與提案的評選者依事前公布條件比較；具實際授權的核定者決定是否採購；行政記錄人員保存往來、核定與履約資料。實際姓名、職稱及權限須依協會現行章程與授權文件核對。</w:t>
      </w:r>
    </w:p>
    <w:p>
      <w:pPr>
        <w:pStyle w:val="ListBullet"/>
        <w:spacing w:after="60" w:line="25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何時使用：課程需求與設計已可描述，但尚未選定師資、教材或合作廠商、尚未承諾費用或簽約時。</w:t>
      </w:r>
    </w:p>
    <w:p>
      <w:pPr>
        <w:pStyle w:val="ListBullet"/>
        <w:spacing w:after="60" w:line="25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怎麼使用：確認需求與可用資源，定義規格和預算，事前鎖定評分尺規，蒐集同條件候選資料，完成利益迴避、比較及核定，再依書面約定驗收並記錄改善。</w:t>
      </w:r>
    </w:p>
    <w:p>
      <w:pPr>
        <w:pStyle w:val="ListBullet"/>
        <w:spacing w:after="60" w:line="25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案例界線：第10章以 SYN-045-01 走讀一次。案例不證明協會做過該課程，也不與0044、0046、0047的任何真實個案建立連結。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 目的與官方要求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本程序把課程需求轉成可比較的資源條件，並規定評估、採購、簽約和後續管理要留下哪些資料。承辦人按同一套步驟作業，評選者可沿著需求、規格、評分和核定理由追查選擇依據，接手人也能確認交付內容與原約定相符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官方查核佐證文件資料表第3頁的 I10-E01 原文為：「完整文書手冊與紀錄分析相關資料（具體明確紀錄展現課程設計時，有適當的流程進行師資、教材或合作廠商評估選擇，且流程應有適當的辦法進行評估、採購、簽約及後續管理作業流程）。」本程序以作業流程、判斷條件、責任與紀錄欄位回應這項要求；官方原文沒有規定本文件所用的價格級距、權重、分數門檻、年限或組織編制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正式使用前，協會須把示範值換成可核實的章程、授權表、財務流程、課程計畫及紀錄管理規範。未完成核定前，本稿不得當成現行制度、正式採購依據或真實績效證據。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2 適用範圍與名詞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本程序適用於為一項已說明的課程需求，選擇外聘師資、教材、場地／技術服務或合作廠商，並管理取得及交付過程。若使用既有免費資源而沒有採購，仍應留下需求、選用理由、權限及交付確認；不需為了套用本程序而虛構報價或契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320"/>
        <w:gridCol w:w="3888"/>
      </w:tblGrid>
      <w:tr>
        <w:trPr>
          <w:tblHeader w:val="true"/>
          <w:cantSplit/>
        </w:trPr>
        <w:tc>
          <w:tcPr>
            <w:tcW w:type="dxa" w:w="187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名詞</w:t>
            </w:r>
          </w:p>
        </w:tc>
        <w:tc>
          <w:tcPr>
            <w:tcW w:type="dxa" w:w="432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本程序的意思</w:t>
            </w:r>
          </w:p>
        </w:tc>
        <w:tc>
          <w:tcPr>
            <w:tcW w:type="dxa" w:w="388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操作時確認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課程需求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由對象、任務、已知落差、學習目標與預期交付內容構成的需求描述。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能指出來源與分母；不把未查證的推測寫成調查結果。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資源規格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對師資資格、教材內容、服務範圍、時程、可近用性、資料處理及交付方式的事前要求。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所有候選使用相同規格及詢價條件。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候選方案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可比較的師資／教材／服務組合及其書面回覆。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供應者身分與報價須有原始回覆支持；樣本代碼不是實際供應商。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履約驗收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依契約或訂單逐項比對交付物、數量、時間、品質及未結缺失。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驗收人不以付款或簽收替代品質核對。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事前門檻與實測結果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門檻是選擇或驗收前設定的規則；結果是交付後依原始資料計得的觀察值。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兩者分欄記錄，實測結果不得回頭改寫門檻。</w:t>
            </w:r>
          </w:p>
        </w:tc>
      </w:tr>
    </w:tbl>
    <w:p>
      <w:pPr>
        <w:spacing w:after="20" w:before="20"/>
      </w:pP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3 角色與職務分離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角色按工作責任定義，不預設原始點協會具有特定委員會、員工編制或財務權限。正式上線前，須依現行章程與授權文件把角色映射到實際職務；找不到合法授權者時停止承諾、下單與簽約，交由有權者釐清。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3384"/>
        <w:gridCol w:w="2880"/>
        <w:gridCol w:w="2203"/>
      </w:tblGrid>
      <w:tr>
        <w:trPr>
          <w:tblHeader w:val="true"/>
          <w:cantSplit/>
        </w:trPr>
        <w:tc>
          <w:tcPr>
            <w:tcW w:type="dxa" w:w="1613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38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主要責任</w:t>
            </w:r>
          </w:p>
        </w:tc>
        <w:tc>
          <w:tcPr>
            <w:tcW w:type="dxa" w:w="288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不得單獨完成的事項</w:t>
            </w:r>
          </w:p>
        </w:tc>
        <w:tc>
          <w:tcPr>
            <w:tcW w:type="dxa" w:w="2203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交接紀錄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需求承辦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整理需求來源、課程設計、預算估算與規格；保管原始提案資料。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不得自行完成評分、核定及驗收全部環節。</w:t>
            </w:r>
          </w:p>
        </w:tc>
        <w:tc>
          <w:tcPr>
            <w:tcW w:type="dxa" w:w="2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需求單、課程設計、規格版本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評選者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逐項核對資格與回覆，申報利益關係，依同一量尺評分並寫理由。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有利益衝突者不得評該候選；不得自行改權重或門檻。</w:t>
            </w:r>
          </w:p>
        </w:tc>
        <w:tc>
          <w:tcPr>
            <w:tcW w:type="dxa" w:w="2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迴避聲明、個別評分、比較摘要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授權核定者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核實權限與預算後，核定、退回補件或否決；理由留痕。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不能以口頭同意取代紀錄；無權限者不得代核。</w:t>
            </w:r>
          </w:p>
        </w:tc>
        <w:tc>
          <w:tcPr>
            <w:tcW w:type="dxa" w:w="2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授權依據、核定日期、決定與理由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行政／採購記錄人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整理詢價、往返、訂購／契約、版本、交付及保存索引。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不代替實際簽約者或驗收者，不補造原件。</w:t>
            </w:r>
          </w:p>
        </w:tc>
        <w:tc>
          <w:tcPr>
            <w:tcW w:type="dxa" w:w="2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文件清單、收發日期、版本與存取紀錄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驗收者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依事前條件檢點交付物，記錄缺失、補正及複驗。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不得把尚未補正或未交付項目標為合格。</w:t>
            </w:r>
          </w:p>
        </w:tc>
        <w:tc>
          <w:tcPr>
            <w:tcW w:type="dxa" w:w="22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驗收表、缺失通知、補正與複驗結果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最低分離原則：提案者不得獨自評分並核定自己提出的方案；評選者先揭露與候選者的利益關係；簽約及驗收由具相應權限的人員處理。人力有限而不能完全分離時，記錄原因並由另一位具權限者作第二覆核；找不到第二覆核者時暫停採購。這些是示範控制，正式採用前須核對協會權限與可行人力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4 作業流程與判斷點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作業順序如下。需求不明、授權不明、利益衝突未處理、預算不足或契約條件未完成時，不進入下一步。案例中的天數是合成操作目標，只有經正式核定後才成為協會時限。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952"/>
        <w:gridCol w:w="5371"/>
      </w:tblGrid>
      <w:tr>
        <w:trPr>
          <w:tblHeader w:val="true"/>
          <w:cantSplit/>
        </w:trPr>
        <w:tc>
          <w:tcPr>
            <w:tcW w:type="dxa" w:w="1757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步驟與時點</w:t>
            </w:r>
          </w:p>
        </w:tc>
        <w:tc>
          <w:tcPr>
            <w:tcW w:type="dxa" w:w="295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輸入與責任</w:t>
            </w:r>
          </w:p>
        </w:tc>
        <w:tc>
          <w:tcPr>
            <w:tcW w:type="dxa" w:w="5371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操作、判斷與必要紀錄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 形成課程需求</w:t>
              <w:br/>
              <w:t>規格發出前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承辦人；需求來源、受訓對象及課程目標。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記錄來源、樣本數／分母及能力落差；定義學習目標、時數、對象與預期產物。需求不能回溯來源時，標為待確認並停止詢價。輸出：需求與課程設計摘要。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 定義資源規格</w:t>
              <w:br/>
              <w:t>邀請候選前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承辦人擬稿；授權核定者確認預算與權限。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寫明師資資格、教材主題／格式、交付清單、時程、總價包含項目、資料界線、驗收方式及事前量尺。規格須能由候選者回答並在交付時驗收。輸出：同版規格及預算上限。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 蒐集候選方案</w:t>
              <w:br/>
              <w:t>依相同規格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記錄人發出同版邀請；承辦人整理回覆。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示範規則以三個可比較候選為目標。回覆不足時，以相同條件補詢一次；仍不足三個但至少兩個有效者，記錄原因並由有權者事前核准例外；少於兩個有效候選時暫停重尋。單一來源須走有權者書面核准的例外，不由承辦人自行決定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 資格與利益迴避</w:t>
              <w:br/>
              <w:t>評分前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評選者逐人揭露；記錄人留存。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先檢查資格、範圍、時間、價格完整性和必要交付。利益衝突者退出該候選評分並記錄替代評選者；衝突無法排除或關係不明時暫停。輸出：合格名單及迴避紀錄。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 依事前量尺評分</w:t>
              <w:br/>
              <w:t>資料齊備後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無利益衝突的評選者；同一版本資料與量尺。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逐項評1至5分，每分附可核對理由；按第5章公式計算。未過資格或超預算者不進加權比較。保留個別分數及覆核方式，不以口頭平均掩蓋分歧。輸出：個別分數、加權表及推薦理由。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6 核定、採購與簽約</w:t>
              <w:br/>
              <w:t>承諾前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承辦人送件；授權核定者決定；有權簽約者簽署。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核對權限、預算、候選、評分、例外、利益迴避、付款條件與契約標的。核准前不得下單、承諾費用或要求供應者開始履約。契約寫明交付、期限、驗收、變更、資料、取消及補正約定。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7 交付驗收</w:t>
              <w:br/>
              <w:t>每一里程碑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驗收者依契約；供方交付物與實際紀錄。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逐項核對內容、數量、格式、日期與品質。缺失標記不合格，列責任人與補正日期；補正後由驗收者複驗。未結缺失不得關案或請款。輸出：驗收紀錄與缺失處理軌跡。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8 績效與結案</w:t>
              <w:br/>
              <w:t>交付完成後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承辦人彙整；驗收者覆核；記錄人歸檔。</w:t>
            </w:r>
          </w:p>
        </w:tc>
        <w:tc>
          <w:tcPr>
            <w:tcW w:type="dxa" w:w="5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將事前目標與實測值分開記錄；評估準時、交付完整、缺失補正及合作情形。結案核對合約／訂單、核定、驗收、異常處理與適用付款證據索引。缺原件就標示缺件，不以樣本替代。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判斷順序：需求與課程設計可追溯嗎？否，補查來源並暫停；是，資源規格與預算已事前核定嗎？否，退回核定；是，候選資格、利益迴避與價格完整嗎？否，剔除或補件並記錄；是，分數達門檻且授權者核定嗎？否，停止採購或走正式例外程序；是，書面簽約後履約。依契約驗收、關閉必要缺失後才結案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5 評估量尺與計算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本稿用六項事前公布的評估面向示範比較師資、教材或整體服務方案。正式採購前，承辦人依課程設計選用適用條件；若某項不適用，須在邀請候選前說明並調整權重至合計100%，不得收到報價後才改量尺。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477"/>
        <w:gridCol w:w="2448"/>
        <w:gridCol w:w="3067"/>
      </w:tblGrid>
      <w:tr>
        <w:trPr>
          <w:tblHeader w:val="true"/>
          <w:cantSplit/>
        </w:trPr>
        <w:tc>
          <w:tcPr>
            <w:tcW w:type="dxa" w:w="208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評估面向與權重</w:t>
            </w:r>
          </w:p>
        </w:tc>
        <w:tc>
          <w:tcPr>
            <w:tcW w:type="dxa" w:w="2477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1至2分</w:t>
            </w:r>
          </w:p>
        </w:tc>
        <w:tc>
          <w:tcPr>
            <w:tcW w:type="dxa" w:w="244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3分</w:t>
            </w:r>
          </w:p>
        </w:tc>
        <w:tc>
          <w:tcPr>
            <w:tcW w:type="dxa" w:w="3067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4至5分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需求與目標符合度</w:t>
              <w:br/>
              <w:t>30%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主要需求未回應，或需大幅改寫課程才可使用。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涵蓋主要目標，但仍有一項需補強。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4分：目標與對象均對應；5分：逐項對應且交付內容可驗收。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師資資格與教學設計</w:t>
              <w:br/>
              <w:t>25%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資格資料不足或設計缺少練習／回饋。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具備所需資格，教學流程可執行。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4分：資格與方法均有佐證；5分：方法、教材與評量完整連到目標。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履約排程與回應</w:t>
              <w:br/>
              <w:t>15%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關鍵時程或責任未確認。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人員、時程與回應方式明確。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4分：節點清楚並留修正時間；5分：風險、代理與補救時程明確。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教材品質與可近用性</w:t>
              <w:br/>
              <w:t>10%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內容、格式或使用條件不符規格。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符合基本內容與格式要求。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4分：可讀、可用且版本可追；5分：另有可近用安排及品質檢查。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含稅交付總價</w:t>
              <w:br/>
              <w:t>10%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超預算或總價缺項即不合格，不計分。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依第5.2節金額級距給分。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4分或5分依第5.2節互斥級距；低價不代表品質最佳。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風險、資料與服務管理</w:t>
              <w:br/>
              <w:t>10%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資料處理或異常責任未說明。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基本保密、變更與補正方式明確。</w:t>
            </w:r>
          </w:p>
        </w:tc>
        <w:tc>
          <w:tcPr>
            <w:tcW w:type="dxa" w:w="30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4分：資料最小化與補正責任可執行；5分：版本、存取及事件通報明確。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價格以可比較的含稅總價計，包含必要交通、教材、運送、授權及完成規格所需成本。以下是完整、互斥的SAMPLE級距，不是協會現行財務授權或法定採購金額；正式使用時必須由有權者以核定預算及財務規則替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1584"/>
        <w:gridCol w:w="352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可比較總價（新臺幣）</w:t>
            </w:r>
          </w:p>
        </w:tc>
        <w:tc>
          <w:tcPr>
            <w:tcW w:type="dxa" w:w="158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價格分數</w:t>
            </w:r>
          </w:p>
        </w:tc>
        <w:tc>
          <w:tcPr>
            <w:tcW w:type="dxa" w:w="352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處理方式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不高於9,000元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納入總評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高於9,000元且不高於11,000元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納入總評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高於11,000元且不高於13,000元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納入總評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高於13,000元且不高於15,000元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納入總評，且須符合核定預算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高於15,000元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不計分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超出SAMPLE預算上限，不進總評；重新核定後再詢價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加權總分 = Σ（單項權重 × 最終原始分數 ÷ 5）。兩名評選者先獨立評分；每項最終原始分數為兩人分數的算術平均，個別分數與理由均保留，不以事後協商覆寫。權重合計100%，分數範圍1至5，公式理論總分為20至100；依本稿價格門檻通過且價格項至少2分時，最低可能總分為22。示範門檻為70分。每項加權分保留兩位，總分四捨五入至一位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若同分，依事前規則先比較需求符合度加權分，再比較師資資格與教學設計，再比較履約排程與回應。仍同分時暫停決定，由有權核定者依已公告條件寫明理由；不得事後新增條件、抽籤或以未記錄的口頭偏好決定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6 採購與契約控制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205"/>
        <w:gridCol w:w="393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契約／採購欄位</w:t>
            </w:r>
          </w:p>
        </w:tc>
        <w:tc>
          <w:tcPr>
            <w:tcW w:type="dxa" w:w="4205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簽約前必須確認</w:t>
            </w:r>
          </w:p>
        </w:tc>
        <w:tc>
          <w:tcPr>
            <w:tcW w:type="dxa" w:w="3931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交付與變更時的處理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採購標的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課程名稱、師資／教材／服務範圍、數量、格式及不包含事項。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增減以書面變更記錄，重估費用與時程後由有權者核准。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價格與付款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含稅總價、分項價格、付款條件、請款文件及預算來源。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只依真實契約及驗收資料處理；示範稿不是發票或付款憑證。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時程與責任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準備、授課、教材交付、回覆、補正及各方窗口。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延期並列原定與實際日期、影響、替代安排及核定。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驗收與缺失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交付清單、合格條件、檢查方式、補正期限及複驗責任。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逐項留存結果、證據位置、缺失通知、補正及複驗。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資料與教材使用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個資範圍、存取、交付格式、保存／刪除責任及教材授權。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只依已核實的授權與契約處理，不推定可公開或可轉授權。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取消與爭議</w:t>
            </w:r>
          </w:p>
        </w:tc>
        <w:tc>
          <w:tcPr>
            <w:tcW w:type="dxa" w:w="42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取消、替代師資、不可交付、通報及聯絡方式。</w:t>
            </w:r>
          </w:p>
        </w:tc>
        <w:tc>
          <w:tcPr>
            <w:tcW w:type="dxa" w:w="39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先處理課程與受訓者影響，再由有權者依真實約定決定。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核定及契約文件須由實際具權限者簽署。權限來源、簽署人或原件尚未核實時，標示待核實；不得以示範核定欄、合成編號或文字簽名代替正式簽章。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7 交付驗收與履約管理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驗收前把契約約定轉成逐項檢查表。驗收者查看交付物本身及可用的收件／授課紀錄，記錄檢查日期、結果、缺失、責任人、期限及複驗。補正項目保留初檢結果與修正軌跡，不覆寫初次檢查。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744"/>
        <w:gridCol w:w="4392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74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事前驗收標準</w:t>
            </w:r>
          </w:p>
        </w:tc>
        <w:tc>
          <w:tcPr>
            <w:tcW w:type="dxa" w:w="43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證據與不合格處理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師資／服務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符合契約所列人員、時數、課程目標與服務內容。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用真實課表、授課紀錄和聯繫資料核對；變更須先核准。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教材／資源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版本、數量、內容、格式、可讀性與授權符合規格。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記版本及數量；缺頁、錯版或無法使用時列缺失，補正後複驗。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時程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在約定日期完成各節點。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並列原定與實際日期，計算逾期日數；例外附原因及核定。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品質與回饋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依事前定義的工具收集回饋，保留分母與原始彙總。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計算有效份數／邀請份數及平均；缺資料標UNKNOWN，不補估。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缺失結案</w:t>
            </w:r>
          </w:p>
        </w:tc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重大缺失已處理，其他未結項目有核定責任與期限。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必要補正未完成時不作最終驗收；付款依正式契約及權限處理。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至少分開看三件事：事前目標是否清楚、交付是否符合約定、實測結果如何。例：滿意度目標4.0／5是事前門檻，4.2／5是依有效問卷計出的結果；實測值不得回填成目標。教材合格比例須有合格件數、檢查總件數和判準，不能把完成檢查誤稱教材品質得分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8 例外與升級處理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032"/>
        <w:gridCol w:w="3816"/>
      </w:tblGrid>
      <w:tr>
        <w:trPr>
          <w:tblHeader w:val="true"/>
          <w:cantSplit/>
        </w:trPr>
        <w:tc>
          <w:tcPr>
            <w:tcW w:type="dxa" w:w="223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403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立即處理與紀錄</w:t>
            </w:r>
          </w:p>
        </w:tc>
        <w:tc>
          <w:tcPr>
            <w:tcW w:type="dxa" w:w="3816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停止／升級條件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候選不足或回覆不可比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同版補詢一次，列聯繫對象、日期、缺件及未回覆。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少於兩個有效方案時停止；單一來源須有權者事前書面核准。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利益衝突或關係未明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評選者揭露並退出該候選評分；記錄替代評選者。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無獨立評選或衝突無法控制時暫停。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總價超過預算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不刪除必要需求以讓價格表面合格；重新估算或修訂規格。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有權者未重新核定前不得採購或簽約。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交付延誤或品質缺失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保留原期限、實況、影響、通知、補正及複驗。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可能影響開課或資料安全時立即通知授權者並處理替代方案。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個資、教材權利或資料事件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限制存取，保存必要事實並依正式事件流程通報。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處理規範或授權未核實時停止傳送／使用資料。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授權、簽章或原件缺失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標示缺件、所需來源、責任角色與追補狀態。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不得補造簽名、報價、契約、發票、核准或第三方證明。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例如兩個工作日內回覆一般補件、重大交付異常當日通報，只有在正式核定後才可成為協會時限。示範稿不自行賦予協會法定期限或內規。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9 紀錄、存取與檢討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608"/>
        <w:gridCol w:w="3312"/>
      </w:tblGrid>
      <w:tr>
        <w:trPr>
          <w:tblHeader w:val="true"/>
          <w:cantSplit/>
        </w:trPr>
        <w:tc>
          <w:tcPr>
            <w:tcW w:type="dxa" w:w="216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</w:t>
            </w:r>
          </w:p>
        </w:tc>
        <w:tc>
          <w:tcPr>
            <w:tcW w:type="dxa" w:w="460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最低欄位</w:t>
            </w:r>
          </w:p>
        </w:tc>
        <w:tc>
          <w:tcPr>
            <w:tcW w:type="dxa" w:w="331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保管與替換來源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需求與課程設計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來源、日期、對象、分母、落差、目標、時數與需求核定。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保存原始調查／訪談或正式需求資料；合成案例不當真實調查。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資源規格與詢價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版本、預算、條件、邀請對象、發送／回覆日期及報價明細。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保存原始詢價與回覆；核對總價含稅、交通、教材及服務。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評估與核定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利益揭露、個別分數、理由、公式、例外、推薦及授權。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保留原始分數與修正軌跡；0046是同要求單案評選表。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採購與履約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訂單／契約、標的、金額、里程碑、變更、交付、驗收及缺失閉環。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由有權來源取得原件；不能公開的原件留在授權位置並記索引。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績效與結案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目標、實測、分子分母、日期、限制、結案核對與改善事項。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承辦人彙整、驗收者覆核，依正式紀錄規範存取與保存。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本稿不替協會指定正式保存年限。第10章的五年只是合成示範參數，須用協會已核定且適用的保存規範替換；未取得規範前，不得宣稱五年是法律、政府或TTQS要求。存取以工作所需為限，公開資料前確認權限。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結案後可依真實資料統計準時交付率、完整驗收率、缺失補正時間與有效回饋率。指標須寫明分子、分母及期間；樣本小時同時列件數。跨年度制度檢討屬0047 I10-E02，不由本件虛構多年成果。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10 完整合成案例走讀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以下案例只演示本程序如何從需求走到履約檢查。SYN-045-01 與0044、0046、0047或任何真實課程都沒有已核實的連結。日期、角色、候選資料、評分、核定及交付結果均為虛構；示範核定不是原始點協會的決議。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/>
          <w:b/>
          <w:color w:val="000000"/>
          <w:sz w:val="24"/>
        </w:rPr>
        <w:t>10.1 課程需求與規格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680"/>
        <w:gridCol w:w="3312"/>
      </w:tblGrid>
      <w:tr>
        <w:trPr>
          <w:tblHeader w:val="true"/>
          <w:cantSplit/>
        </w:trPr>
        <w:tc>
          <w:tcPr>
            <w:tcW w:type="dxa" w:w="208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68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/ SYNTHETIC 案例內容</w:t>
            </w:r>
          </w:p>
        </w:tc>
        <w:tc>
          <w:tcPr>
            <w:tcW w:type="dxa" w:w="331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核對方式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案例與課程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SYN-045-01｜志工服務溝通與紀錄整理工作坊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合成代碼；不是協會實際課程名稱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需求來源與日期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模擬盤點日2026-05-04；12位預定參與者。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合成盤點表；正式使用需真實需求原件與分母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能力落差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8／12尚需練習服務紀錄撰寫；7／12尚需練習個資情境判斷。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兩項各自以12為分母，不是互斥人數；不得相加為15人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目標與設計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12小時、兩次各6小時；練習情境紀錄、回饋修訂及個資判斷。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合成規格；正式目標需由真實權責人核定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預算與總價口徑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示範上限新臺幣15,000元；總價含稅、交通、教材及交付。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不是協會現行預算或財務核決門檻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時程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詢價05-06；收件05-11；評分05-12；案例核定05-15；簽約05-18；授課06-01及06-08；結案檢視06-22，均為2026年。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全為合成日期；簽署或付款原件不存在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案例資源規格要求：師資帶領志工情境演練；兩次共12小時；課前交付流程及教材樣稿；提供12份最終教材；教材包含紀錄練習與個資情境；開課前完成修正；全案含稅總價不超過15,000元。每個候選依相同規格回覆。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/>
          <w:b/>
          <w:color w:val="000000"/>
          <w:sz w:val="24"/>
        </w:rPr>
        <w:t>10.2 合格檢查與候選方案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5328"/>
        <w:gridCol w:w="1512"/>
        <w:gridCol w:w="2016"/>
      </w:tblGrid>
      <w:tr>
        <w:trPr>
          <w:tblHeader w:val="true"/>
          <w:cantSplit/>
        </w:trPr>
        <w:tc>
          <w:tcPr>
            <w:tcW w:type="dxa" w:w="122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合成候選</w:t>
            </w:r>
          </w:p>
        </w:tc>
        <w:tc>
          <w:tcPr>
            <w:tcW w:type="dxa" w:w="532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資源組合與回覆摘要</w:t>
            </w:r>
          </w:p>
        </w:tc>
        <w:tc>
          <w:tcPr>
            <w:tcW w:type="dxa" w:w="151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含稅總價</w:t>
            </w:r>
          </w:p>
        </w:tc>
        <w:tc>
          <w:tcPr>
            <w:tcW w:type="dxa" w:w="2016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門檻檢查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方案A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師資A、教材A；主題符合，個資案例較少；回覆兩次授課時段及教材交付。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14,000元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資格、時程、交付符合；價格級距2分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方案B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師資B與共同備課教材；逐項回應兩項能力落差，列出流程、教材樣稿、修訂節點及授課時段。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12,000元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資格、時程、交付符合；價格級距3分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方案C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師資C與教材套件；成本最低，紀錄練習充足，但個資情境及課後修訂說明較少。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9,000元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資格、時程、交付符合；價格級距5分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三份候選回覆及證明文件都是案例中的合成材料，不是真實廠商報價。案例假設兩名合成評選者E01、E02均先完成利益揭露且無需迴避；代碼及申報都不是真實協會紀錄。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/>
          <w:b/>
          <w:color w:val="000000"/>
          <w:sz w:val="24"/>
        </w:rPr>
        <w:t>10.3 評分與計算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下表列兩位評選者各項分數的算術平均；下一表保留E01與E02的原始分數及理由。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979"/>
        <w:gridCol w:w="979"/>
        <w:gridCol w:w="979"/>
        <w:gridCol w:w="491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面向／權重</w:t>
            </w:r>
          </w:p>
        </w:tc>
        <w:tc>
          <w:tcPr>
            <w:tcW w:type="dxa" w:w="979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方案A</w:t>
            </w:r>
          </w:p>
        </w:tc>
        <w:tc>
          <w:tcPr>
            <w:tcW w:type="dxa" w:w="979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方案B</w:t>
            </w:r>
          </w:p>
        </w:tc>
        <w:tc>
          <w:tcPr>
            <w:tcW w:type="dxa" w:w="979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方案C</w:t>
            </w:r>
          </w:p>
        </w:tc>
        <w:tc>
          <w:tcPr>
            <w:tcW w:type="dxa" w:w="491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計分依據摘要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需求符合度30%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A逐項涵蓋；B涵蓋主要需求；C個資情境較少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師資與教學25%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B的練習、回饋與目標連結完整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排程與回應15%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B列兩次時段、交付和修訂節點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教材與可近用10%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B樣稿符合格式並列版本修訂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含稅總價10%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依9,000／11,000／13,000／15,000元互斥級距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風險與服務10%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B列資料界線與補正方式；C未充分說明補正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加權總分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82.0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88.0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77.0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權重×原始分÷5後加總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示範門檻70分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通過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通過</w:t>
            </w:r>
          </w:p>
        </w:tc>
        <w:tc>
          <w:tcPr>
            <w:tcW w:type="dxa" w:w="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通過</w:t>
            </w:r>
          </w:p>
        </w:tc>
        <w:tc>
          <w:tcPr>
            <w:tcW w:type="dxa" w:w="49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僅為案例門檻，不是現行核定標準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下表保留兩名評選者的原始分數。每一列的最終分數等於E01與E02之和除以2；個別理由有差異時也保留差異，不把平均值說成兩人原本給出相同分數。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901"/>
        <w:gridCol w:w="792"/>
        <w:gridCol w:w="792"/>
        <w:gridCol w:w="792"/>
        <w:gridCol w:w="5011"/>
      </w:tblGrid>
      <w:tr>
        <w:trPr>
          <w:tblHeader w:val="true"/>
          <w:cantSplit/>
        </w:trPr>
        <w:tc>
          <w:tcPr>
            <w:tcW w:type="dxa" w:w="7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</w:t>
            </w:r>
          </w:p>
        </w:tc>
        <w:tc>
          <w:tcPr>
            <w:tcW w:type="dxa" w:w="1901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評估面向</w:t>
            </w:r>
          </w:p>
        </w:tc>
        <w:tc>
          <w:tcPr>
            <w:tcW w:type="dxa" w:w="7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E01</w:t>
            </w:r>
          </w:p>
        </w:tc>
        <w:tc>
          <w:tcPr>
            <w:tcW w:type="dxa" w:w="7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E02</w:t>
            </w:r>
          </w:p>
        </w:tc>
        <w:tc>
          <w:tcPr>
            <w:tcW w:type="dxa" w:w="79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5011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依據與差異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需求符合度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兩項需求均有對應練習與教材。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師資與教學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資格資料及教學流程符合規格。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排程與回應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列兩次時段及交付；修訂節點說明較少，保留兩人原分。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教材與可近用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格式符合要求，版本與可近用安排一般。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含稅總價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14,000元落在高於13,000元且不高於15,000元區間。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A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風險與服務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有資料處理與補正說明；兩人對細節充分度判斷不同。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需求符合度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主要需求均回應，尚有一項可再補強。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師資與教學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教學方法、教材與評量完整連到目標。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排程與回應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兩次時段、交付及修訂節點均明確。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教材與可近用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樣稿、版本修訂及可近用安排均列明。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含稅總價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12,000元落在高於11,000元且不高於13,000元區間。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B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風險與服務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資料界線與補正責任可執行。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需求符合度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有紀錄練習但個資情境較少，兩人對覆蓋程度評分不同。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師資與教學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資格與基本教學流程符合。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排程與回應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時段可行但修訂與回覆節點較少。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教材與可近用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4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教材內容充足，可近用及版本維護說明較少。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含稅總價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5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9,000元不高於最低價格級距。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C</w:t>
            </w:r>
          </w:p>
        </w:tc>
        <w:tc>
          <w:tcPr>
            <w:tcW w:type="dxa" w:w="19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風險與服務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3</w:t>
            </w:r>
          </w:p>
        </w:tc>
        <w:tc>
          <w:tcPr>
            <w:tcW w:type="dxa" w:w="50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具基本服務說明，補正細節有限。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逐步重算：方案B = (30×4÷5) + (25×5÷5) + (15×5÷5) + (10×5÷5) + (10×3÷5) + (10×4÷5) = 24 + 25 + 15 + 10 + 6 + 8 = 88.0。方案A = 30 + 20 + 12 + 8 + 4 + 8 = 82.0；方案C = 24 + 20 + 9 + 8 + 10 + 6 = 77.0。權重合計100；三案均高於70分案例門檻。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案例推薦方案B，因總分88.0最高且符合資格、排程、交付和價格條件。方案C雖最便宜，不能只按最低價選定；方案B的優勢來自需求、教學、教材及補正安排。推薦與核定均非協會真實決議。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/>
          <w:b/>
          <w:color w:val="000000"/>
          <w:sz w:val="24"/>
        </w:rPr>
        <w:t>10.4 核定、契約與交付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112"/>
        <w:gridCol w:w="3024"/>
      </w:tblGrid>
      <w:tr>
        <w:trPr>
          <w:tblHeader w:val="true"/>
          <w:cantSplit/>
        </w:trPr>
        <w:tc>
          <w:tcPr>
            <w:tcW w:type="dxa" w:w="194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日期／事件</w:t>
            </w:r>
          </w:p>
        </w:tc>
        <w:tc>
          <w:tcPr>
            <w:tcW w:type="dxa" w:w="511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合成紀錄內容</w:t>
            </w:r>
          </w:p>
        </w:tc>
        <w:tc>
          <w:tcPr>
            <w:tcW w:type="dxa" w:w="3024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結果與限制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2026-05-12評分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兩名合成評選者依同版量尺獨立評分，保留原始分數與理由。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方案B 88.0分；合成案例假設無利益衝突；非真實評選紀錄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2026-05-15核定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合成角色A01依本案例設定確認推薦方案及15,000元上限。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流程演示；沒有真人核定、簽章或組織授權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2026-05-18契約條件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合成代碼SYN-CT-045-01；總價12,000元；兩次各6小時、12份教材及開課前修訂。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不是契約、報價、發票或付款證明；未有真實用印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2026-05-29教材初檢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合成檢查發現兩份樣張頁碼索引未更新，通知方案B修正。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一項可補正缺失；保留初檢結果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2026-05-30複驗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合成複驗確認12份最終教材頁碼一致，課程流程及個資情境已納入。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示範缺失閉環；非真實收件或驗收紀錄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2026-06-01及06-08授課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兩次各6小時，合計12／12約定小時；12／12份最終教材可用。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純合成情境，不證明協會曾辦訓或實際交付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2026-06-22結案檢視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10／12份有效回饋；4人給5分、4人給4分、2人給3分。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平均4.2／5；有效回覆率83.3%；純合成示例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回饋計算：有效回覆率 = 10 ÷ 12 × 100% = 83.3%（四捨五入到小數一位）；平均滿意度 = (4×5 + 4×4 + 2×3) ÷ 10 = 42 ÷ 10 = 4.2／5。案例預設事前目標至少4.0／5，因此4.2／5在本合成案例達到示範目標。問卷分數不是實際參與者資料。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案例結案判斷：授課完成12／12小時，最終教材完成12／12份，一項頁碼缺失在授課前複驗關閉，有效問卷10／12，平均4.2／5高於案例事前目標4.0／5。這只演示如何判斷；付款、簽約、授權及原件均須由真實來源核實。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/>
          <w:b/>
          <w:color w:val="000000"/>
          <w:sz w:val="24"/>
        </w:rPr>
        <w:t>10.5 案例參數與正式替換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權重、70分門檻、價格級距、15,000元上限、4.0／5回饋目標及五年示範保存期都是未核定的合成參數，並非官方要求或協會現行制度。五年只展示如何登錄保存參數，不主張任何法律或政府依據。逐項替換來源、定位及責任角色見本封包的SYNTHETIC_REPLACEMENT_REGISTER_R01.csv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11 表單與檢查清單</w:t>
      </w: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正式採購時，承辦人至少確認下列欄位完整。單案的候選與個別評分填入0046《師資教材廠商評選紀錄表》；本節只列程序必要控制，不複製0046的完整表單。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357"/>
        <w:gridCol w:w="2923"/>
      </w:tblGrid>
      <w:tr>
        <w:trPr>
          <w:tblHeader w:val="true"/>
          <w:cantSplit/>
        </w:trPr>
        <w:tc>
          <w:tcPr>
            <w:tcW w:type="dxa" w:w="180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5357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必填檢查欄位</w:t>
            </w:r>
          </w:p>
        </w:tc>
        <w:tc>
          <w:tcPr>
            <w:tcW w:type="dxa" w:w="2923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完成判斷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需求與設計</w:t>
            </w:r>
          </w:p>
        </w:tc>
        <w:tc>
          <w:tcPr>
            <w:tcW w:type="dxa" w:w="53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來源／日期／分母；能力落差；學習目標；時數與對象；資源必要性。</w:t>
            </w:r>
          </w:p>
        </w:tc>
        <w:tc>
          <w:tcPr>
            <w:tcW w:type="dxa" w:w="29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每項需求有來源，且連到資源規格與驗收條件。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詢價與比較</w:t>
            </w:r>
          </w:p>
        </w:tc>
        <w:tc>
          <w:tcPr>
            <w:tcW w:type="dxa" w:w="53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同版規格；候選來源；回覆日期；總價範圍；資格；利益揭露；事前權重與門檻。</w:t>
            </w:r>
          </w:p>
        </w:tc>
        <w:tc>
          <w:tcPr>
            <w:tcW w:type="dxa" w:w="29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資料可比較；例外已由有權者事前核定。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核定與採購</w:t>
            </w:r>
          </w:p>
        </w:tc>
        <w:tc>
          <w:tcPr>
            <w:tcW w:type="dxa" w:w="53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推薦理由；預算來源；授權依據；核定職務／日期／決定；訂購或契約版本。</w:t>
            </w:r>
          </w:p>
        </w:tc>
        <w:tc>
          <w:tcPr>
            <w:tcW w:type="dxa" w:w="29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正式權限及原件可核對；缺件時不承諾。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驗收與結案</w:t>
            </w:r>
          </w:p>
        </w:tc>
        <w:tc>
          <w:tcPr>
            <w:tcW w:type="dxa" w:w="53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約定與實際值；交付證據；分子分母；缺失與複驗；結案及保存位置。</w:t>
            </w:r>
          </w:p>
        </w:tc>
        <w:tc>
          <w:tcPr>
            <w:tcW w:type="dxa" w:w="29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必要缺失已關閉或由有權者作成具理由處置，原件可追溯。</w:t>
            </w:r>
          </w:p>
        </w:tc>
      </w:tr>
    </w:tbl>
    <w:p>
      <w:pPr>
        <w:spacing w:after="20" w:before="20"/>
      </w:pP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12 相關文件與工作界線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4032"/>
        <w:gridCol w:w="3528"/>
      </w:tblGrid>
      <w:tr>
        <w:trPr>
          <w:tblHeader w:val="true"/>
          <w:cantSplit/>
        </w:trPr>
        <w:tc>
          <w:tcPr>
            <w:tcW w:type="dxa" w:w="252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03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對應工作</w:t>
            </w:r>
          </w:p>
        </w:tc>
        <w:tc>
          <w:tcPr>
            <w:tcW w:type="dxa" w:w="3528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本件如何銜接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0045｜I10-E01｜訓練資源採購與甄選管理辦法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本SOP的需求、評估、採購、簽約與後續管理。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本件主文，規定制度流程及判斷控制。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0046｜I10-E01｜師資教材廠商評選紀錄表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一個採購案的候選、個別評分、理由與核定索引。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依本程序填單案紀錄；兩件文類不同。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0047｜I10-E02｜採購簽約與後續管理檢討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跨年度檢討、趨勢比較及制度改善分析。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本件保存單案結果供後續分析，不代替多年檢討。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0044｜I09-E04｜討論會議或電子郵件完整紀錄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會議及郵件內容、簽核與存檔紀錄。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採購往來依正式規範歸檔，本件不代替原始紀錄。</w:t>
            </w:r>
          </w:p>
        </w:tc>
      </w:tr>
    </w:tbl>
    <w:p>
      <w:pPr>
        <w:spacing w:after="20" w:before="20"/>
      </w:pPr>
    </w:p>
    <w:p>
      <w:pPr>
        <w:spacing w:before="0" w:after="100" w:line="269" w:lineRule="auto"/>
      </w:pPr>
      <w:r>
        <w:rPr>
          <w:rFonts w:ascii="Microsoft JhengHei" w:hAnsi="Microsoft JhengHei" w:eastAsia="Microsoft JhengHei"/>
          <w:b w:val="0"/>
          <w:color w:val="202A35"/>
          <w:sz w:val="21"/>
        </w:rPr>
        <w:t>遮住標題及編號後，本件仍可由需求、規格、候選評估、授權採購、契約、驗收及履約檢討的完整流程辨識為採購與甄選管理程序。0044、0046、0047各有不同工作物；共用資料時引用來源索引，不複製其正文或虛構同一案例關聯。</w:t>
      </w:r>
    </w:p>
    <w:p>
      <w:pPr>
        <w:pStyle w:val="Heading1"/>
        <w:keepNext/>
        <w:spacing w:before="220" w:after="80"/>
      </w:pPr>
      <w:r>
        <w:rPr>
          <w:rFonts w:ascii="Microsoft JhengHei" w:hAnsi="Microsoft JhengHei" w:eastAsia="Microsoft JhengHei"/>
          <w:b/>
          <w:color w:val="000000"/>
          <w:sz w:val="30"/>
        </w:rPr>
        <w:t>13 版本修訂紀錄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656"/>
        <w:gridCol w:w="5112"/>
        <w:gridCol w:w="2160"/>
      </w:tblGrid>
      <w:tr>
        <w:trPr>
          <w:tblHeader w:val="true"/>
          <w:cantSplit/>
        </w:trPr>
        <w:tc>
          <w:tcPr>
            <w:tcW w:type="dxa" w:w="115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656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112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修訂內容</w:t>
            </w:r>
          </w:p>
        </w:tc>
        <w:tc>
          <w:tcPr>
            <w:tcW w:type="dxa" w:w="2160"/>
            <w:vAlign w:val="center"/>
            <w:shd w:fill="244A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0" w:line="245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核定狀態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R01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2026-10-17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依I10-E01及Unique Blueprint建立新示範程序，並製作合成案例與逐事實替換簿。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color w:val="202A35"/>
                <w:sz w:val="19"/>
              </w:rPr>
              <w:t>候選草案；未生效、未核定、無簽章</w:t>
            </w:r>
          </w:p>
        </w:tc>
      </w:tr>
    </w:tbl>
    <w:p>
      <w:pPr>
        <w:spacing w:after="20" w:before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E6873"/>
        <w:sz w:val="17"/>
      </w:rPr>
      <w:t xml:space="preserve">0045 R01　｜　未經協會正式核定　｜　第 </w:t>
    </w:r>
    <w:r>
      <w:rPr>
        <w:rFonts w:ascii="Microsoft JhengHei" w:hAnsi="Microsoft JhengHei" w:eastAsia="Microsoft JhengHei"/>
        <w:b w:val="0"/>
        <w:color w:val="5E6873"/>
        <w:sz w:val="17"/>
      </w:rPr>
    </w:r>
    <w:fldSimple w:instr="PAGE"/>
    <w:r>
      <w:rPr>
        <w:rFonts w:ascii="Microsoft JhengHei" w:hAnsi="Microsoft JhengHei" w:eastAsia="Microsoft JhengHei"/>
        <w:b w:val="0"/>
        <w:color w:val="5E68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color w:val="6A737D"/>
        <w:sz w:val="17"/>
      </w:rPr>
      <w:t>SAMPLE / SYNTHETIC　｜　未生效示範稿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訓練資源採購與甄選管理辦法</dc:title>
  <dc:subject>DOCX 0045 / I10-E01 / official checkbox 047 / SAMPLE SYNTHETIC candidate R01</dc:subject>
  <dc:creator>TTQS ONE candidate authoring</dc:creator>
  <cp:keywords>SAMPLE; SYNTHETIC; 0045; I10-E01; checkbox 047</cp:keywords>
  <dc:description>Candidate only. No Association approval, procurement, signature, contract, payment, delivery, or actual training is represented.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