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課程評估、採購、簽約及履約改善分析報告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  <w:keepNext/>
        <w:pageBreakBefore w:val="0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年度案例明細與逐步計算</w:t>
      </w:r>
    </w:p>
    <w:p>
      <w:pPr>
        <w:pStyle w:val="Heading3"/>
        <w:keepNext/>
        <w:spacing w:before="120" w:after="80"/>
      </w:pPr>
      <w:r>
        <w:t>評分構面與示範分數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5069"/>
        <w:gridCol w:w="1296"/>
        <w:gridCol w:w="1094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評分構面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分數（1–5）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</w:tbl>
    <w:p>
      <w:pPr>
        <w:pStyle w:val="Heading3"/>
        <w:keepNext/>
        <w:spacing w:before="120" w:after="80"/>
      </w:pPr>
      <w:r>
        <w:t>加權計算與總分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6163"/>
        <w:gridCol w:w="1296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加權計算式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</w:tr>
    </w:tbl>
    <w:p>
      <w:pPr>
        <w:pStyle w:val="Heading3"/>
        <w:keepNext/>
        <w:spacing w:before="120" w:after="80"/>
      </w:pPr>
      <w:r>
        <w:t>履約檢核結果與判讀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23"/>
        <w:gridCol w:w="950"/>
        <w:gridCol w:w="1238"/>
        <w:gridCol w:w="1267"/>
        <w:gridCol w:w="3715"/>
        <w:gridCol w:w="1325"/>
      </w:tblGrid>
      <w:tr>
        <w:trPr>
          <w:cantSplit/>
          <w:tblHeader w:val="1"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完成／應完成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40"/>
      </w:pPr>
      <w:r>
        <w:t>評量方式與判定</w:t>
      </w:r>
    </w:p>
    <w:p>
      <w:pPr>
        <w:pStyle w:val="Heading3"/>
        <w:keepNext/>
        <w:spacing w:before="60" w:after="40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1"/>
          <w:cantSplit/>
        </w:trPr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選擇前課程需求與評估規準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需求、目標及評估規準在選擇前可追溯。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資源選擇理由可重現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能由候選比較、適用性及選擇理由重現決定脈絡。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採購、契約及驗收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採購核決、契約範圍、雙方簽署及驗收依據可核對。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履約後評估及改善追蹤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25%</w:t>
            </w:r>
          </w:p>
        </w:tc>
        <w:tc>
          <w:tcPr>
            <w:tcW w:type="dxa" w:w="3336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60" w:after="40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未見可追溯材料。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材料零散，無法說明主要判斷。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有部分記錄，但前後關聯或檢討閉環不完整。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主要內容完整，能連結課程與決策並供覆核。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  <w:keepNext/>
        <w:spacing w:before="60" w:after="40"/>
      </w:pPr>
      <w:r>
        <w:t>示範判讀門檻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判讀條件</w:t>
            </w:r>
          </w:p>
        </w:tc>
        <w:tc>
          <w:tcPr>
            <w:tcW w:type="dxa" w:w="5004"/>
            <w:vAlign w:val="center"/>
            <w:shd w:fill="1F4E7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判斷標準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加權分數低於3.00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優先補強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加權分數至少3.00但低於4.00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需改善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加權分數至少4.00但履約檢核未全數完成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仍列需改善；先補齊缺項，再由管理權責角色覆核</w:t>
            </w:r>
          </w:p>
        </w:tc>
      </w:tr>
      <w:tr>
        <w:trPr>
          <w:cantSplit/>
        </w:trPr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加權分數至少4.00且四項檢核全數完成</w:t>
            </w:r>
          </w:p>
        </w:tc>
        <w:tc>
          <w:tcPr>
            <w:tcW w:type="dxa" w:w="5004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達示範檢視門檻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4756</Words>
  <Characters>5487</Characters>
  <Application>Microsoft Macintosh Word</Application>
  <DocSecurity>0</DocSecurity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課程評估、採購、簽約及履約改善分析報告</dc:title>
  <dc:subject>整理近年課程從需求評估、資源選擇、採購簽約到履約後檢討改善的證據口徑，提供資料覆核與改善決策使用；本文內案例僅為示範資料。</dc:subject>
  <dc:creator/>
  <cp:keywords/>
  <dc:description>R04: presentation-only fit adjustment to keep the final sample-threshold row with its assessment section; no text or table values changed. Table body text remains at 9.5 pt or larger.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