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 w:val="0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40"/>
      </w:pPr>
      <w:r>
        <w:t>評量方式與判定</w:t>
      </w:r>
    </w:p>
    <w:p>
      <w:pPr>
        <w:pStyle w:val="Heading3"/>
        <w:keepNext/>
        <w:spacing w:before="60" w:after="40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1"/>
          <w:cantSplit/>
        </w:trPr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選擇前課程需求與評估規準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需求、目標及評估規準在選擇前可追溯。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資源選擇理由可重現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能由候選比較、適用性及選擇理由重現決定脈絡。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採購、契約及驗收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採購核決、契約範圍、雙方簽署及驗收依據可核對。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履約後評估及改善追蹤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60" w:after="40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未見可追溯材料。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材料零散，無法說明主要判斷。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有部分記錄，但前後關聯或檢討閉環不完整。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主要內容完整，能連結課程與決策並供覆核。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  <w:keepNext/>
        <w:spacing w:before="60" w:after="40"/>
      </w:pPr>
      <w:r>
        <w:t>示範判讀門檻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加權分數低於3.00：優先補強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加權分數至少3.00但低於4.00：需改善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加權分數至少4.00但履約檢核未全數完成：仍列需改善；先補齊缺項，再由管理權責角色覆核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加權分數至少4.00且四項檢核全數完成：達示範檢視門檻</w:t>
      </w:r>
    </w:p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R05: presentation-only reflow of the four redundant sample interpretation rows into a compact bullet list; thresholds, predicates, outcomes, and all other body text/table values are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