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sz w:val="44"/>
        </w:rPr>
        <w:t>訓練執行評估指標分析及相關統計分析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76B72"/>
          <w:sz w:val="24"/>
        </w:rPr>
        <w:t>跨班訓練 KPI 統計分析報告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color w:val="5B6875"/>
          <w:sz w:val="18"/>
        </w:rPr>
        <w:t>DOCX 0067  |  I15-E03  |  官方方框 073  |  候選文件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8A3B12"/>
          <w:sz w:val="20"/>
        </w:rPr>
        <w:t>全篇 SAMPLE / SYNTHETIC　REAL 成效：UNKNOWN / HOLD</w:t>
      </w:r>
    </w:p>
    <w:p>
      <w:pPr>
        <w:pStyle w:val="Heading1"/>
      </w:pPr>
      <w:r>
        <w:rPr>
          <w:rFonts w:ascii="Microsoft JhengHei" w:hAnsi="Microsoft JhengHei" w:eastAsia="Microsoft JhengHei"/>
        </w:rPr>
        <w:t>0. 首頁 30 秒導讀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文件身分：DOCX 0067；需求 I15-E03；官方方框 073；官方佐證資料表第 5 頁。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文類：跨班／跨期間訓練執行 KPI 統計分析報告。本文件比較班次、期間、分母、來源與差距，不是單班結案報告、課程設計會議紀錄或改善追蹤單。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資料狀態：全篇 SAMPLE／SYNTHETIC。沒有真實協會紀錄、核准目標、實際班次、簽章或正式決議；所有 REAL 成效狀態為 UNKNOWN／HOLD。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本次納入：3 個合成班次（C1、C2、C3），分析日期為 2026-08-15、2026-09-12、2026-10-10；登錄 37 人、到課 32 人、完成 30 人、有效評量 30 份、達標 24 人。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主要結果：加權評量達標率 24/30=80.0%；班級達標率簡單平均 79.6%；問卷有效回收率 30/32=93.8%；正向率 26/30=86.7%；合成預算使用率 24,630/25,000=98.5%，但 C3 單班為 7,280/7,000=104.0%；三班淨差額 −370 TWD。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資料位置：原始資料見第 5 章；分母橋接見第 6 章；KPI、趨勢與差距見第 7 章；限制與建議見第 9、10 章；真實替換見第 11 章；49 筆替換清冊見附錄 A。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使用方式：先核對分母與來源，再判讀差距；所有門檻均為未核定示範值，不得直接作為協會政策。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官方要求、文類定位與相鄰文件區分</w:t>
      </w:r>
    </w:p>
    <w:p>
      <w:pPr>
        <w:pStyle w:val="Heading2"/>
      </w:pPr>
      <w:r>
        <w:rPr>
          <w:rFonts w:ascii="Microsoft JhengHei" w:hAnsi="Microsoft JhengHei" w:eastAsia="Microsoft JhengHei"/>
        </w:rPr>
        <w:t>1.1 官方要求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官方條目原文：「訓練執行評估指標分析及相關統計分析。」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指標脈絡：指標 15「評估報告及定期性綜合分析」之佐證資料。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本文件回應官方方框 073，提供跨班／跨期間的 KPI 定義、分母、分組、期間、來源與差距分析。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主要讀者：訓練承辦人、資料覆核者、主管及評核閱讀者。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使用時點：一個分析期的資料收集與覆核完成後。本範例只演示 2026 年 8 月至 10 月三個合成班次，不宣稱協會實際採行此週期。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1.2 文類定位</w:t>
      </w:r>
    </w:p>
    <w:p>
      <w:r>
        <w:rPr>
          <w:rFonts w:ascii="Microsoft JhengHei" w:hAnsi="Microsoft JhengHei" w:eastAsia="Microsoft JhengHei"/>
        </w:rPr>
        <w:t>本文件是「跨班／跨期間訓練執行 KPI 統計分析報告」。它必須能回答下列問題：納入幾個班次、每班原始資料來源何在、分母代表誰與哪一期間、哪些指標達到示範門檻、哪些落差需要補查、加權總率與班級平均為何不同、如何替換真實資料並重新計算。若只呈現單班結案、單一活動紀錄或改善追蹤，即不符合本文件文類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1.3 與相鄰文件的責任區分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需求／方框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主要角色</w:t>
            </w:r>
          </w:p>
        </w:tc>
        <w:tc>
          <w:tcPr>
            <w:tcW w:type="dxa" w:w="24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本文件的區分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I15-E02／072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單班完整結案報告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可引用 C1 為同一 SAMPLE 案例，但不得把單班結果當成年度績效或正式成效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I15-E04／074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改善追蹤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可提出待核定建議與差距，不得宣稱後續改善已執行或有效</w:t>
            </w:r>
          </w:p>
        </w:tc>
      </w:tr>
      <w:tr>
        <w:trPr>
          <w:cantSplit/>
        </w:trPr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0065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I15-E01／071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單項訓練執行評估紀錄</w:t>
            </w:r>
          </w:p>
        </w:tc>
        <w:tc>
          <w:tcPr>
            <w:tcW w:type="dxa" w:w="24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不複製其單件正文，只作統計來源定位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1.4 標題遮蔽後仍可辨識為統計分析報告</w:t>
      </w:r>
    </w:p>
    <w:p>
      <w:r>
        <w:rPr>
          <w:rFonts w:ascii="Microsoft JhengHei" w:hAnsi="Microsoft JhengHei" w:eastAsia="Microsoft JhengHei"/>
        </w:rPr>
        <w:t>本文件正文包含班次分組、期間趨勢、分母橋接、KPI 差異、小樣本限制與資料品質條件。即使遮住標題，仍可辨認為跨班／跨期間 KPI 統計分析，而非單班結案、會議紀錄或改善追蹤。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本次合成分析範圍、期間、單位與不可推論事項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範圍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納入班次：C1「社區志工接待與資源轉介界線」、C2「志工危機辨識與轉介實務（示範班）」、C3「社區關懷訪視安全與紀錄（示範班）」。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數值引用 0066 R01 的 SAMPLE／SYNTHETIC 單班案例；C2、C3 為本分析新增的合成案例。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不納入真實班次、真實名冊、真實支出或真實問卷。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2.2 期間與單位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分析期間：2026-08-15、2026-09-12、2026-10-10（合成示範日期，不代表協會實際週期）。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計數單位：人、份、班次。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金額單位：新臺幣（TWD），金額保留元。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百分比：四捨五入至 1 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2.3 不可推論事項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不得推論真實協會執行、實際學員、實際支出、政策門檻、因果效果或年度績效。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三個班次課程主題不同，績效差異不能直接歸因於課程設計。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本範例的日期、人數、金額與門檻均為合成值，不得作為正式成效或核定標準。</w:t>
      </w:r>
    </w:p>
    <w:p>
      <w:pPr>
        <w:sectPr>
          <w:footerReference w:type="default" r:id="rId9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3. 指標字典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基礎指標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定義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主要來源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無（基準母數）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F004、F018、F032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F005、F019、F033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缺席人數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登錄減到課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 − 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F004/F005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達至少 5 小時合成門檻者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登錄人數（另可看到課人數）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F006、F020、F034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完成門檻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合成完成規則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完成所需時數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小時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F007、F021、F035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符合有效性規則的評量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份／人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F008、F022、F036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無有效評量數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到課但無有效評量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 − 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F005/F008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評量達標人數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F009、F023、F037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未達標人數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有效評量中未達標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 − 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F008/F009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發出問卷數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F010、F024、F038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有效問卷數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F011、F025、F039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問卷排除數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發出減有效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 − 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F010/F011 等計算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4 或 5 分正向數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份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F012、F026、F040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合成核定計畫金額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F013、F027、F041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合成支出金額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F014、F028、F042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差額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支出減計畫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 − 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TWD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 F013/F014 等計算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3.2 衍生 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單位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 ÷ 登錄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F004、F005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 ÷ 登錄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F004、F006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到課者完成率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 ÷ 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F005、F006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 ÷ 到課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F005、F008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 ÷ 有效評量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達標人數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F008、F009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有效問卷 ÷ 發出問卷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問卷發出數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F010、F011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 ÷ 有效問卷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正向數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問卷有效數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F011、F012 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 ÷ 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課程日期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F013、F014 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3.3 評量狀態區分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「有效評量」：符合有效性規則、可納入達標率分母的評量。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「達標」：有效評量中達到核定量規者。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「未達標」：有效評量中未達到核定量規者，不是缺評量。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「無有效評量」：到課但沒有有效評量者，不是未達標，不得計入達標率分母。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「問卷有效」：符合回收與填答規則的問卷。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「正向（4 或 5 分）」：在 5 點量尺中選 4 或 5 分的正向回覆。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缺少評量不得計為未達標；兩者必須分列。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資料收集、納入與覆核程序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班次建立：建立分析班次代碼、課程名稱、日期與完成門檻。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原始資料取件：取得名冊、簽到或時數、評量、問卷、核定預算與支出明細。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去識別：移除個人識別資訊，僅保留統計計數與必要分組。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逐筆校驗：檢查分母恆等式、範圍、重複、缺漏與欄位衝突。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覆核：由資料覆核者重新計算並記錄差異。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彙整：形成三班原始資料表與 KPI 表。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分析：計算 KPI、差距、限制與待核定建議。</w:t>
      </w:r>
    </w:p>
    <w:p>
      <w:r>
        <w:rPr>
          <w:rFonts w:ascii="Microsoft JhengHei" w:hAnsi="Microsoft JhengHei" w:eastAsia="Microsoft JhengHei"/>
        </w:rPr>
        <w:t>角色僅寫通用功能：資料提供者、承辦者、覆核者、主管。實際授權與人員由協會依其程序指定，本文件不捏造現職人員或簽章。</w:t>
      </w:r>
    </w:p>
    <w:p>
      <w:pPr>
        <w:sectPr>
          <w:footerReference w:type="default" r:id="rId10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5. 三班合成原始資料總表</w:t>
      </w: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5A　班次識別與出席概況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979"/>
        <w:gridCol w:w="2376"/>
        <w:gridCol w:w="5976"/>
        <w:gridCol w:w="1829"/>
        <w:gridCol w:w="1440"/>
        <w:gridCol w:w="1440"/>
      </w:tblGrid>
      <w:tr>
        <w:trPr>
          <w:tblHeader w:val="true"/>
          <w:cantSplit/>
        </w:trPr>
        <w:tc>
          <w:tcPr>
            <w:tcW w:type="dxa" w:w="979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案例代碼</w:t>
            </w:r>
          </w:p>
        </w:tc>
        <w:tc>
          <w:tcPr>
            <w:tcW w:type="dxa" w:w="59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課程（合成）</w:t>
            </w:r>
          </w:p>
        </w:tc>
        <w:tc>
          <w:tcPr>
            <w:tcW w:type="dxa" w:w="1829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4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登錄</w:t>
            </w:r>
          </w:p>
        </w:tc>
        <w:tc>
          <w:tcPr>
            <w:tcW w:type="dxa" w:w="14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到課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SYN-0060-2026-A01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社區志工接待與資源轉介界線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2026-08-15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SYN-0067-2026-B01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志工危機辨識與轉介實務（示範班）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2026-09-12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15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SYN-0067-2026-C01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社區關懷訪視安全與紀錄（示範班）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2026-10-10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—</w:t>
            </w:r>
          </w:p>
        </w:tc>
        <w:tc>
          <w:tcPr>
            <w:tcW w:type="dxa" w:w="59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3 個合成班次</w:t>
            </w:r>
          </w:p>
        </w:tc>
        <w:tc>
          <w:tcPr>
            <w:tcW w:type="dxa" w:w="182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2026-08 至 10 月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37</w:t>
            </w:r>
          </w:p>
        </w:tc>
        <w:tc>
          <w:tcPr>
            <w:tcW w:type="dxa" w:w="14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5B　缺席、完成與評量分母橋接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168"/>
        <w:gridCol w:w="2088"/>
        <w:gridCol w:w="2088"/>
        <w:gridCol w:w="2520"/>
        <w:gridCol w:w="1800"/>
        <w:gridCol w:w="3456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缺席</w:t>
            </w:r>
          </w:p>
        </w:tc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完成</w:t>
            </w:r>
          </w:p>
        </w:tc>
        <w:tc>
          <w:tcPr>
            <w:tcW w:type="dxa" w:w="252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有效評量</w:t>
            </w:r>
          </w:p>
        </w:tc>
        <w:tc>
          <w:tcPr>
            <w:tcW w:type="dxa" w:w="180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達標</w:t>
            </w:r>
          </w:p>
        </w:tc>
        <w:tc>
          <w:tcPr>
            <w:tcW w:type="dxa" w:w="345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6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5</w:t>
            </w:r>
          </w:p>
        </w:tc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25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24</w:t>
            </w:r>
          </w:p>
        </w:tc>
        <w:tc>
          <w:tcPr>
            <w:tcW w:type="dxa" w:w="345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5C　問卷回收與正向回覆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12"/>
        <w:gridCol w:w="2376"/>
        <w:gridCol w:w="2376"/>
        <w:gridCol w:w="2016"/>
        <w:gridCol w:w="5040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問卷發出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問卷有效</w:t>
            </w:r>
          </w:p>
        </w:tc>
        <w:tc>
          <w:tcPr>
            <w:tcW w:type="dxa" w:w="201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正向</w:t>
            </w:r>
          </w:p>
        </w:tc>
        <w:tc>
          <w:tcPr>
            <w:tcW w:type="dxa" w:w="504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12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30</w:t>
            </w:r>
          </w:p>
        </w:tc>
        <w:tc>
          <w:tcPr>
            <w:tcW w:type="dxa" w:w="201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26</w:t>
            </w:r>
          </w:p>
        </w:tc>
        <w:tc>
          <w:tcPr>
            <w:tcW w:type="dxa" w:w="504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pPr>
        <w:keepNext/>
        <w:spacing w:before="120" w:after="60"/>
      </w:pPr>
      <w:r>
        <w:rPr>
          <w:rFonts w:ascii="Microsoft JhengHei" w:hAnsi="Microsoft JhengHei" w:eastAsia="Microsoft JhengHei"/>
          <w:b/>
          <w:color w:val="176B72"/>
          <w:sz w:val="18"/>
        </w:rPr>
        <w:t>表 5D　計畫、支出與差額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088"/>
        <w:gridCol w:w="2376"/>
        <w:gridCol w:w="2376"/>
        <w:gridCol w:w="3168"/>
        <w:gridCol w:w="1800"/>
        <w:gridCol w:w="3312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班次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計畫 (TWD)</w:t>
            </w:r>
          </w:p>
        </w:tc>
        <w:tc>
          <w:tcPr>
            <w:tcW w:type="dxa" w:w="237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支出 (TWD)</w:t>
            </w:r>
          </w:p>
        </w:tc>
        <w:tc>
          <w:tcPr>
            <w:tcW w:type="dxa" w:w="3168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差額（支出減計畫）</w:t>
            </w:r>
          </w:p>
        </w:tc>
        <w:tc>
          <w:tcPr>
            <w:tcW w:type="dxa" w:w="180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使用率</w:t>
            </w:r>
          </w:p>
        </w:tc>
        <w:tc>
          <w:tcPr>
            <w:tcW w:type="dxa" w:w="331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 fact 範圍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C1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8,000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7,650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-350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95.6%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F001–F014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C2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9,700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-300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97.0%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F015–F028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C3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7,280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+280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104.0%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F029–F042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全體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25,000</w:t>
            </w:r>
          </w:p>
        </w:tc>
        <w:tc>
          <w:tcPr>
            <w:tcW w:type="dxa" w:w="237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24,630</w:t>
            </w:r>
          </w:p>
        </w:tc>
        <w:tc>
          <w:tcPr>
            <w:tcW w:type="dxa" w:w="31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-370</w:t>
            </w:r>
          </w:p>
        </w:tc>
        <w:tc>
          <w:tcPr>
            <w:tcW w:type="dxa" w:w="180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7"/>
              </w:rPr>
              <w:t>98.5%</w:t>
            </w:r>
          </w:p>
        </w:tc>
        <w:tc>
          <w:tcPr>
            <w:tcW w:type="dxa" w:w="33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7"/>
              </w:rPr>
              <w:t>F001–F042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補充：三班完成門檻均為至少 5 小時（合成門檻，非協會核定規則）。C1 數值與 0066 R01 的 SAMPLE 案例一致，僅作為跨文件對齊的同一合成案例。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  <w:cantSplit/>
        </w:trPr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班次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有效評量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達標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未達標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無有效評量</w:t>
            </w:r>
          </w:p>
        </w:tc>
        <w:tc>
          <w:tcPr>
            <w:tcW w:type="dxa" w:w="2580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到課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C3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全體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30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24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32</w:t>
            </w:r>
          </w:p>
        </w:tc>
      </w:tr>
    </w:tbl>
    <w:p>
      <w:pPr>
        <w:spacing w:after="20"/>
      </w:pPr>
    </w:p>
    <w:p>
      <w:pPr>
        <w:sectPr>
          <w:footerReference w:type="default" r:id="rId11"/>
          <w:pgSz w:w="16834" w:h="11909" w:orient="landscape"/>
          <w:pgMar w:top="749" w:right="677" w:bottom="792" w:left="677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6. 分母流向橋接與恆等式</w:t>
      </w:r>
    </w:p>
    <w:p>
      <w:pPr>
        <w:pStyle w:val="Heading2"/>
      </w:pPr>
      <w:r>
        <w:rPr>
          <w:rFonts w:ascii="Microsoft JhengHei" w:hAnsi="Microsoft JhengHei" w:eastAsia="Microsoft JhengHei"/>
        </w:rPr>
        <w:t>6.1 單班橋接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C1：登錄 12 = 到課 10 + 缺席 2；到課 10 = 完成 10 + 未完成 0；到課 10 = 有效評量 9 + 無有效評量 1；有效評量 9 = 達標 8 + 未達標 1；問卷發出 10 = 有效 9 + 排除 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C2：登錄 15 = 到課 13 + 缺席 2；到課 13 = 完成 12 + 未完成 1；到課 13 = 有效評量 12 + 無有效評量 1；有效評量 12 = 達標 10 + 未達標 2；問卷發出 13 = 有效 12 + 排除 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C3：登錄 10 = 到課 9 + 缺席 1；到課 9 = 完成 8 + 未完成 1；到課 9 = 有效評量 9 + 無有效評量 0；有效評量 9 = 達標 6 + 未達標 3；問卷發出 9 = 有效 9 + 排除 0。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6.2 全體橋接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登錄 37 = 到課 32 + 缺席 5。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 32 = 完成 30 + 未完成 2。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 32 = 有效評量 30 + 無有效評量 2。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有效評量 30 = 達標 24 + 未達標 6。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問卷發出 32 = 有效 30 + 排除 2。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6.3 恆等式檢查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blHeader w:val="true"/>
          <w:cantSplit/>
        </w:trPr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檢查項目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登錄 = 到課 + 缺席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 = 10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15 = 13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37 = 32 + 5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 = 完成 + 未完成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10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8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 = 有效評量 + 無有效評量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9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有效評量 = 達標 + 未達標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8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 = 10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6 + 3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 = 24 + 6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問卷發出 = 有效 + 排除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 = 9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 = 12 + 1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 = 9 + 0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 = 30 + 2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通過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所有分子均未大於分母；有效評量均未超過到課；問卷有效均未超過發出。若有任一不等式不成立，應先對帳，不得直接計算 KPI。</w:t>
      </w:r>
    </w:p>
    <w:p>
      <w:pPr>
        <w:sectPr>
          <w:footerReference w:type="default" r:id="rId12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7. KPI 定義、各班結果、加權與班級平均、趨勢、示範門檻與差距</w:t>
      </w:r>
    </w:p>
    <w:p>
      <w:pPr>
        <w:pStyle w:val="Heading2"/>
      </w:pPr>
      <w:r>
        <w:rPr>
          <w:rFonts w:ascii="Microsoft JhengHei" w:hAnsi="Microsoft JhengHei" w:eastAsia="Microsoft JhengHei"/>
        </w:rPr>
        <w:t>7.1 KPI 結果表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全體加權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班級簡單平均</w:t>
            </w:r>
          </w:p>
        </w:tc>
        <w:tc>
          <w:tcPr>
            <w:tcW w:type="dxa" w:w="2211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加權 − 班級平均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13/15=86.7%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32/37=86.5%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86.7%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−0.2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12/15=80.0%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8/10=80.0%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30/37=81.1%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81.1%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0.0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到課者完成率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10/10=100.0%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93.7%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+0.1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9/9=100.0%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94.1%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6/9=66.7%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24/30=80.0%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79.6%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+0.4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9/10=90.0%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12/13=92.3%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9/9=100.0%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30/32=93.8%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94.1%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10/12=83.3%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8/9=88.9%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26/30=86.7%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87.0%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−0.3 pp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7,650/8,000=95.6%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9,700/10,000=97.0%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7,280/7,000=104.0%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24,630/25,000=98.5%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sz w:val="16"/>
              </w:rPr>
              <w:t>98.9%</w:t>
            </w:r>
          </w:p>
        </w:tc>
        <w:tc>
          <w:tcPr>
            <w:tcW w:type="dxa" w:w="2211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−0.4 pp</w:t>
            </w:r>
          </w:p>
        </w:tc>
      </w:tr>
    </w:tbl>
    <w:p>
      <w:pPr>
        <w:spacing w:after="20"/>
      </w:pPr>
    </w:p>
    <w:p>
      <w:pPr>
        <w:sectPr>
          <w:footerReference w:type="default" r:id="rId13"/>
          <w:pgSz w:w="16834" w:h="11909" w:orient="landscape"/>
          <w:pgMar w:top="749" w:right="677" w:bottom="792" w:left="677" w:header="403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</w:rPr>
        <w:t>7.2 加權率與班級平均的差異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評量達標率：加權為 24/30=80.0%；班級率簡單平均為 (88.9%+83.3%+66.7%)/3=79.6%。兩者相差約 0.4 個百分點，不能互換。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加權率反映全體有效評量的分子與分母；班級平均反映每班 KPI 的算術平均，受班級數與樣本數影響。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本文件所有全體 KPI 均使用加權口徑；班級平均僅作比較參考。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7.3 期間趨勢（合成示範，僅描述）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到課率：83.3% → 86.7% → 90.0%（上升）。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完成率（登錄口徑）：83.3% → 80.0% → 80.0%（略降後持平）。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到課者完成率：100.0% → 92.3% → 88.9%（下降）。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評量覆蓋率：90.0% → 92.3% → 100.0%（上升）。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評量達標率：88.9% → 83.3% → 66.7%（下降）。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問卷有效回收率：90.0% → 92.3% → 100.0%（上升）。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問卷正向率：88.9% → 83.3% → 88.9%（先降後回升）。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預算使用率：95.6% → 97.0% → 104.0%（上升，C3 超過 100%）。</w:t>
      </w:r>
    </w:p>
    <w:p>
      <w:r>
        <w:rPr>
          <w:rFonts w:ascii="Microsoft JhengHei" w:hAnsi="Microsoft JhengHei" w:eastAsia="Microsoft JhengHei"/>
        </w:rPr>
        <w:t>僅有 3 個合成時間點，且課程主題不同，不能推論長期趨勢或因果。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7.4 群組差異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的評量達標率最低（66.7%），低於 C1 的 88.9% 與 C2 的 83.3%。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的到課率最低（83.3%），但到課者完成率為 100.0%。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 人數最多（登錄 15 人），其達標率與正向率均低於 C1。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的問卷有效回收率與評量覆蓋率均為 100.0%，但正向數未同步提高。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的預算使用率為 104.0%，是唯一超過 100% 的班次。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7.5 示範門檻比較（SAMPLE，未核定）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  <w:cantSplit/>
        </w:trPr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示範門檻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C1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C2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C3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全體</w:t>
            </w:r>
          </w:p>
        </w:tc>
        <w:tc>
          <w:tcPr>
            <w:tcW w:type="dxa" w:w="141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到課率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86.7%（達標）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86.5%（達標）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 落差 1.7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完成率（登錄口徑）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81.1%（達標）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全體僅高 1.1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評量覆蓋率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≥95%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92.3%（未達）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93.8%（未達）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C1、C2 落差 5.0、2.7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評量達標率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66.7%（未達）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C3 落差 13.3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問卷有效回收率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≥90%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92.3%（達標）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100.0%（達標）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93.8%（達標）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全體高 3.8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問卷正向率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≥85%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83.3%（未達）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88.9%（達標）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86.7%（達標）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C2 落差 1.7 pp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預算使用率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≤100%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95.6%（達標）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97.0%（達標）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104.0%（未達）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98.5%（達標）</w:t>
            </w:r>
          </w:p>
        </w:tc>
        <w:tc>
          <w:tcPr>
            <w:tcW w:type="dxa" w:w="14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C3 超支 4.0%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門檻均標示「示範用、未核定」（F043–F049），只為練習差距判讀，不是協會政策或官方門檻。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7.6 差距摘要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C1：到課率 83.3% 低於示範門檻 85%，差距 1.7 pp；需 11 人到課（目前 10 人）。評量覆蓋率 90.0% 低於 95%，需 10 份有效評量（目前 9 份）。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C2：正向率 83.3% 低於 85%，需 11 份正向回覆（目前 10 份）。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C3：達標率 66.7% 低於 80%，需 8 份達標（目前 6 份），差距 2 人。預算使用率 104.0%，超支 280 TWD。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全體達標率恰為 80.0%，沒有緩衝；少 1 份達標即降為 76.7%。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8. 評量與費用差異的計算示例</w:t>
      </w:r>
    </w:p>
    <w:p>
      <w:pPr>
        <w:pStyle w:val="Heading2"/>
      </w:pPr>
      <w:r>
        <w:rPr>
          <w:rFonts w:ascii="Microsoft JhengHei" w:hAnsi="Microsoft JhengHei" w:eastAsia="Microsoft JhengHei"/>
        </w:rPr>
        <w:t>8.1 評量差異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與 C3 達標率差：88.9% − 66.7% = 22.2 個百分點；分母分別為 9 份與 9 份有效評量。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 與 C3 達標率差：83.3% − 66.7% = 16.6 個百分點。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全體與 C3 達標率差：80.0% − 66.7% = 13.3 個百分點。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上述為描述性差異。受限於小樣本與不同課程主題，不能推論課程因果。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8.2 費用差異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C1：7,650 − 8,000 = −350 TWD，使用率 95.6%。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C2：9,700 − 10,000 = −300 TWD，使用率 97.0%。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C3：7,280 − 7,000 = +280 TWD，使用率 104.0%。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全體：24,630 − 25,000 = −370 TWD，使用率 98.5%。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C3 單班超支 280 TWD，不能被全體淨節餘 370 TWD 遮蔽。若要回到 100%，需減少支出 280 TWD 或調整核定計畫。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8.3 達標數敏感度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全體有效評量 30 份，目前 24 份達標，恰為 80.0%。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若少 1 份達標：23/30 = 76.7%。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若多 1 份達標：25/30 = 83.3%。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小樣本下，1 份評量即可改變整體結論。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合成結果解讀、差距、限制與 SAMPLE 建議</w:t>
      </w:r>
    </w:p>
    <w:p>
      <w:pPr>
        <w:pStyle w:val="Heading2"/>
      </w:pPr>
      <w:r>
        <w:rPr>
          <w:rFonts w:ascii="Microsoft JhengHei" w:hAnsi="Microsoft JhengHei" w:eastAsia="Microsoft JhengHei"/>
        </w:rPr>
        <w:t>9.1 主要發現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三班整體到課率 86.5%、完成率 81.1%、評量覆蓋率 93.8%，均接近或達到示範門檻。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全體評量達標率恰為 80.0%，但 C3 僅 66.7%，是主要落差來源。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問卷有效回收率 93.8%、正向率 86.7%，整體表現尚可，但 C2 正向率 83.3% 未達示範門檻。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預算整體使用率 98.5%，淨節餘 370 TWD；但 C3 單班超支 280 TWD，需單獨核對。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無有效評量共 2 人，已與未達標 6 人分列，不互相吞併。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9.2 限制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全部資料為合成值，無真實名冊、簽到、評量、問卷、預算或憑證。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樣本數小（32 名到課者），百分比對 1 人變動敏感。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三個班次課程主題不同，無法分離課程效果、講師效果與學員背景。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期間只有 3 個合成時間點，不能推論長期趨勢。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示範門檻未核定，不能作為協會政策或正式績效標準。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C1 來自 0066 R01 的 SAMPLE 案例，其本身不是 REAL 紀錄。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9.3 優先核對項目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C1 缺少 1 份有效評量：確認是否為缺考、遲到、評量失效或資料漏登。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C1 到課率低於示範門檻：確認缺席原因與補課規則。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C2 正向回覆缺口 1 份：確認問卷題意、量尺與匿名回收程序。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C3 達標率偏低：重核量規、評分、題目難度與上課內容。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C3 預算超支 280 TWD：核對支出明細、憑證與核定計畫。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全體達標率無緩衝：確認評量品質與達標判定一致性。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9.4 SAMPLE 建議（NOT APPROVED／待核定）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APPROVED／待核定】若未來真實資料仍顯示 C1 到課率偏低，可考慮加強課前提醒與補課安排，但需先取得真實出席紀錄。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C1 評量覆蓋率持續低於示範值，可考慮補強評量施測與缺考處理規則，但不得把缺評量計為未達標。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C2 正向率持續低於示範值，可檢視問卷題目與回饋收集方式，但不得推論課程失敗。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C3 達標率持續偏低，可安排內容與評量一致性檢核，但需真實評量與量規。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【SAMPLE／NOT APPROVED／待核定】若 C3 預算超支屬實，應補齊支出憑證並重新核定計畫，不得以全體節餘遮蔽單班超支。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以上建議僅為示範分析產出，不是協會已決議或已執行的改善行動。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偏誤、缺漏、重複及 N/A 處理；HOLD／REJECT 條件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10.1 處理原則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缺少評量不計為未達標；「未達標」與「無有效評量」必須分列。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分母為 0 時，該 KPI 標示 N/A 並寫明原因。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門檻、問卷量尺或期間在班次間不同且不可換算時，不合併，標示 N/A／HOLD 並分組呈現。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重複登錄、缺欄、欄位衝突或計算不平時，標示 HOLD，不得補猜。</w:t>
      </w:r>
    </w:p>
    <w:p>
      <w:pPr>
        <w:pStyle w:val="ListBullet"/>
        <w:ind w:left="346" w:hanging="202"/>
      </w:pPr>
      <w:r>
        <w:rPr>
          <w:rFonts w:ascii="Microsoft JhengHei" w:hAnsi="Microsoft JhengHei" w:eastAsia="Microsoft JhengHei"/>
        </w:rPr>
        <w:t>只有彙總百分比、沒有來源欄位、樣本數、分母或期間時，不得納入正式分析。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10.2 HOLD 條件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缺少真實原件或合法來源。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登錄數不等於到課數加缺席數。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有效評量數超過到課數。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問卷有效數超過發出數。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達標數超過有效評量數。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完成人數超過到課數。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班次間完成門檻、量尺或期間不同且不可換算。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8. 欄位衝突、重複資料或計算不平。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9. 缺少核定預算、支出明細或合法憑證。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10. 未取得資料權限或去識別方案。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10.3 REJECT 條件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1. 任一分子大於分母。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2. 將「沒有有效評量」計為「未達標」。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3. 將 SAMPLE 資料當成 REAL 資料。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4. 將建議寫成正式決議或已執行改善。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5. 把 0066 的單班結果當成年度績效。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6. 以全體淨節餘遮蔽 C3 單班超支。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7. 以班級平均取代加權總率，或反之，而不說明差異。</w:t>
      </w:r>
    </w:p>
    <w:p>
      <w:pPr>
        <w:ind w:left="360" w:hanging="360"/>
      </w:pPr>
      <w:r>
        <w:rPr>
          <w:rFonts w:ascii="Microsoft JhengHei" w:hAnsi="Microsoft JhengHei" w:eastAsia="Microsoft JhengHei"/>
        </w:rPr>
        <w:t>8. 只有彙總百分比，沒有來源欄位、樣本數、分母或期間。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真實資料替換作業清單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blHeader w:val="true"/>
          <w:cantSplit/>
        </w:trPr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需要原件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必要欄位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覆核方式</w:t>
            </w:r>
          </w:p>
        </w:tc>
        <w:tc>
          <w:tcPr>
            <w:tcW w:type="dxa" w:w="1653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課程與日期主檔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正式課程計畫與開課紀錄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班次代碼、課程名稱、日期、時數、完成規則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二重核對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報名名冊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合法名冊或報名原始檔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登錄人數、報名日期、資格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名冊與系統比對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簽到與時數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簽到或出缺勤原件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到課人數、缺席人數、出席時數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簽到與名冊比對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完成規則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核定課程規則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完成門檻、完成人數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規則與時數比對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原始評量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原始評量與量規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有效評量數、達標數、未達標數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量規與評分覆核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問卷原始回覆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匿名問卷原始答卷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發出數、有效數、排除數、4/5 分數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量尺與排除規則覆核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核定預算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核定預算原件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計畫預算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預算與計畫比對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支出明細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帳務明細與合法憑證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合成支出、差額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憑證與明細比對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資料權限與去識別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授權與去識別方案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欄位最小化、匿名化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法遵覆核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  <w:tr>
        <w:trPr>
          <w:cantSplit/>
        </w:trPr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重新計算與覆核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分析工作底稿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全部 KPI、橋接、差距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由協會依實際授權指定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雙人覆核</w:t>
            </w:r>
          </w:p>
        </w:tc>
        <w:tc>
          <w:tcPr>
            <w:tcW w:type="dxa" w:w="16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未取得／HOLD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未取得真實原件前，不得把演示數字改名為實績；文件仍可作為完整 SAMPLE 示範，但 REAL／正式成效維持 UNKNOWN／HOLD。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與 0066、0068 的責任界線與證據索引</w:t>
      </w:r>
    </w:p>
    <w:p>
      <w:pPr>
        <w:pStyle w:val="Heading2"/>
      </w:pPr>
      <w:r>
        <w:rPr>
          <w:rFonts w:ascii="Microsoft JhengHei" w:hAnsi="Microsoft JhengHei" w:eastAsia="Microsoft JhengHei"/>
        </w:rPr>
        <w:t>12.1 責任界線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本文件可做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本文件不得做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 單班完整結案報告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引用 C1 為同一 SAMPLE 案例，作跨文件數值對齊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把單班結果當成年度績效或正式成效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 改善追蹤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提供統計差距與待核定建議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宣稱改善已執行或有效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0065 單項評估紀錄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定位統計來源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複製其單件正文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</w:rPr>
        <w:t>12.2 證據索引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說明</w:t>
            </w:r>
          </w:p>
        </w:tc>
        <w:tc>
          <w:tcPr>
            <w:tcW w:type="dxa" w:w="3307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官方要求條目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「訓練執行評估指標分析及相關統計分析。」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官方方框 073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本文件回應之方框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官方佐證資料表第 5 頁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指標 15 佐證資料所在頁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已引用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三班合成資料集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C1、C2、C3 原始計數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輸入 fact F001–F042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三班欄位事實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示範門檻 fact F043–F049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未核定示範門檻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SAMPLE／SYNTHETIC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0066 R01 candidate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C1 同一 SAMPLE 案例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未正式接受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6"/>
              </w:rPr>
              <w:t>0068 需求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改善追蹤，非本文件範圍</w:t>
            </w:r>
          </w:p>
        </w:tc>
        <w:tc>
          <w:tcPr>
            <w:tcW w:type="dxa" w:w="33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6"/>
              </w:rPr>
              <w:t>區分責任</w:t>
            </w:r>
          </w:p>
        </w:tc>
      </w:tr>
    </w:tbl>
    <w:p>
      <w:pPr>
        <w:spacing w:after="20"/>
      </w:pPr>
    </w:p>
    <w:p>
      <w:pPr>
        <w:sectPr>
          <w:footerReference w:type="default" r:id="rId14"/>
          <w:pgSz w:w="11909" w:h="16834"/>
          <w:pgMar w:top="893" w:right="994" w:bottom="893" w:left="994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</w:rPr>
        <w:t>附錄 A：49 筆 SAMPLE／SYNTHETIC 替換清冊</w:t>
      </w:r>
    </w:p>
    <w:p>
      <w:r>
        <w:rPr>
          <w:rFonts w:ascii="Microsoft JhengHei" w:hAnsi="Microsoft JhengHei" w:eastAsia="Microsoft JhengHei"/>
        </w:rPr>
        <w:t>以下清冊逐筆對應輸入 fact_id、正文位置、原件替換路徑與狀態。所有列均為 SAMPLE／SYNTHETIC，正式使用前必須替換為真實來源。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E"/>
          <w:left w:val="single" w:sz="4" w:space="0" w:color="C7D2DE"/>
          <w:bottom w:val="single" w:sz="4" w:space="0" w:color="C7D2DE"/>
          <w:right w:val="single" w:sz="4" w:space="0" w:color="C7D2DE"/>
          <w:insideH w:val="single" w:sz="4" w:space="0" w:color="C7D2DE"/>
          <w:insideV w:val="single" w:sz="4" w:space="0" w:color="C7D2DE"/>
        </w:tblBorders>
      </w:tblPr>
      <w:tblGrid>
        <w:gridCol w:w="3096"/>
        <w:gridCol w:w="2952"/>
        <w:gridCol w:w="4392"/>
        <w:gridCol w:w="4824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事實識別與數值</w:t>
            </w:r>
          </w:p>
        </w:tc>
        <w:tc>
          <w:tcPr>
            <w:tcW w:type="dxa" w:w="295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正文／來源定位</w:t>
            </w:r>
          </w:p>
        </w:tc>
        <w:tc>
          <w:tcPr>
            <w:tcW w:type="dxa" w:w="4392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改用 REAL 時須取得</w:t>
            </w:r>
          </w:p>
        </w:tc>
        <w:tc>
          <w:tcPr>
            <w:tcW w:type="dxa" w:w="4824"/>
            <w:vAlign w:val="center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SAMPLE／SYNTHETIC 原因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值：SYN-0060-2026-A01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首頁案例編號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值：社區志工接待與資源轉介界線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首頁課名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值：2026-08-15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DOCX 首頁演練日期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摘要表：報名／到課／缺席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同上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完成數表及 5 小時合成門檻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完成數表/門檻註記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評量橋接：有效 9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SYN-0067-R01-F009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評量橋接：達標 8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問卷摘要：發出 10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問卷摘要：有效 9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問卷正向：4/5 分 8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財務合計：合成計畫 8,000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C1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值：7650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財務合計：合成支出 7,650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0066 R01 candidate SAMPLE; replace with authorized real source: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從 0066 R01 的 SAMPLE/SYNTHETIC 單班案例引用作為 C1；來源本身不是 REAL，不得當作協會已辦訓紀錄。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值：SYN-0067-2026-B01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case_id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值：志工危機辨識與轉介實務（示範班）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course_name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值：2026-09-12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course_date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值：15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registrants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SYN-0067-R01-F019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值：13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attendees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completers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completion_threshold_hours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valid_assessments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passes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值：13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survey_issued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值：12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survey_valid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positive_responses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planned_budget_twd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C2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值：9700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C2 欄位 actual_spend_twd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SYN-0067-R01-F029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case_id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值：SYN-0067-2026-C01　合成班次代碼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case_id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真實班次/課程主檔及授權編碼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course_name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值：社區關懷訪視安全與紀錄（示範班）　文字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course_name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正式課程計畫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course_date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值：2026-10-10　YYYY-MM-DD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course_date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正式開課紀錄/簽到原件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registrants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registrants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合法名冊/報名原始檔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attendees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attendees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簽到/出缺勤原件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completers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completers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出席時數與完成規則原件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completion_threshold_hours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值：5　小時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completion_threshold_hours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核定課程規則/出席時數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valid_assessments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份/人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valid_assessments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原始評量及有效性規則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passes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值：6　人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passes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核定量規與原始評分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survey_issued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survey_issued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發放紀錄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SYN-0067-R01-F039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survey_valid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survey_valid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匿名原始問卷及排除規則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SYN-0067-R01-F040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positive_responses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　份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positive_responses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問卷原始答卷與量尺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SYN-0067-R01-F041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planned_budget_twd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值：7000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planned_budget_twd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核定預算原件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SYN-0067-R01-F042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C3　actual_spend_twd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值：7280　TWD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合成資料 C3 欄位 actual_spend_twd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No real record provided; obtain authorized original: 帳務明細與合法憑證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為說明跨班統計而明確建立的合成示例值，非協會實際班次、帳務或成效。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SYN-0067-R01-F043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attendance_rate_target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SYN-0067-R01-F044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completion_rate_registered_target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SYN-0067-R01-F045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assessment_coverage_target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SYN-0067-R01-F046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assessment_pass_rate_target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SYN-0067-R01-F047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survey_response_rate_target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值：90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SYN-0067-R01-F048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positive_response_rate_target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值：85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5F8FB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b/>
                <w:sz w:val="14"/>
              </w:rPr>
              <w:t>SYN-0067-R01-F049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ALL　budget_utilization_ceiling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值：100　%</w:t>
            </w:r>
            <w:r>
              <w:rPr>
                <w:b/>
              </w:rPr>
              <w:br/>
            </w:r>
            <w:r>
              <w:rPr>
                <w:rFonts w:ascii="Microsoft JhengHei" w:hAnsi="Microsoft JhengHei" w:eastAsia="Microsoft JhengHei"/>
                <w:b/>
                <w:sz w:val="14"/>
              </w:rPr>
              <w:t>狀態：SAMPLE_SYNTHETIC_UNVERIFIED_REAL</w:t>
            </w:r>
          </w:p>
        </w:tc>
        <w:tc>
          <w:tcPr>
            <w:tcW w:type="dxa" w:w="295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0067_R01 示範差距判讀門檻表</w:t>
            </w:r>
          </w:p>
        </w:tc>
        <w:tc>
          <w:tcPr>
            <w:tcW w:type="dxa" w:w="43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Replace only if the Association supplies an authorized approved KPI threshold; otherwise leave explicitly as a sample benchmark.</w:t>
            </w:r>
          </w:p>
        </w:tc>
        <w:tc>
          <w:tcPr>
            <w:tcW w:type="dxa" w:w="48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示範分析用假設，沒有協會核准或官方效力。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5"/>
      <w:pgSz w:w="16834" w:h="11909" w:orient="landscape"/>
      <w:pgMar w:top="749" w:right="677" w:bottom="792" w:left="67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sz w:val="16"/>
      </w:rPr>
      <w:t xml:space="preserve">TTQS ONE  |  DOCX 0067  |  SAMPLE / SYNTHETIC  |  第 </w:t>
    </w:r>
    <w:r>
      <w:rPr>
        <w:rFonts w:ascii="Microsoft JhengHei" w:hAnsi="Microsoft JhengHei" w:eastAsia="Microsoft JhengHei"/>
        <w:color w:val="5B6875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1" w:lineRule="auto"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6B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 w:cs="Microsoft JhengHei"/>
      <w:b w:val="0"/>
      <w:color w:val="2434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 w:cs="Microsoft JhengHei"/>
      <w:b/>
      <w:bCs/>
      <w:color w:val="176B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訓練執行評估指標分析及相關統計分析</dc:title>
  <dc:subject>DOCX 0067 | I15-E03 | 官方方框 073 | SAMPLE / SYNTHETIC 候選文件</dc:subject>
  <dc:creator/>
  <cp:keywords>TTQS ONE, 0067, I15-E03, 073,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候選文件</cp:category>
</cp:coreProperties>
</file>