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sz w:val="46"/>
        </w:rPr>
        <w:t>個人產品不良件數與訓後改善分析表</w:t>
      </w:r>
    </w:p>
    <w:p>
      <w:pPr>
        <w:spacing w:before="60" w:after="140"/>
        <w:ind w:left="259" w:right="259"/>
        <w:shd w:fill="FFF2D5"/>
      </w:pPr>
      <w:r>
        <w:rPr>
          <w:rFonts w:ascii="Microsoft JhengHei" w:hAnsi="Microsoft JhengHei" w:eastAsia="Microsoft JhengHei"/>
          <w:b/>
          <w:color w:val="654210"/>
          <w:sz w:val="20"/>
        </w:rPr>
        <w:t>SAMPLE／SYNTHETIC 示範文件｜CANDIDATE R01</w:t>
      </w:r>
    </w:p>
    <w:p>
      <w:pPr>
        <w:spacing w:before="60" w:after="140"/>
        <w:ind w:left="259" w:right="259"/>
        <w:shd w:fill="FFF2D5"/>
      </w:pPr>
      <w:r>
        <w:rPr>
          <w:rFonts w:ascii="Microsoft JhengHei" w:hAnsi="Microsoft JhengHei" w:eastAsia="Microsoft JhengHei"/>
          <w:color w:val="654210"/>
          <w:sz w:val="20"/>
        </w:rPr>
        <w:t>本稿的產品、學員代碼、訓練、日期、批次、檢查數、缺陷數、缺陷原因、工具及材料變更均為合成示範，並非屏東縣原始點關懷協會實際開課、生產、檢驗、核准或改善成果。</w:t>
      </w:r>
      <w:r>
        <w:rPr>
          <w:rFonts w:ascii="Microsoft JhengHei" w:hAnsi="Microsoft JhengHei" w:eastAsia="Microsoft JhengHei"/>
          <w:b/>
          <w:color w:val="654210"/>
          <w:sz w:val="20"/>
        </w:rPr>
        <w:t>REAL 證據目前 UNKNOWN；不得將本案例當成協會實績。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  <w:tblHeader w:val="true"/>
        </w:trPr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文件識別</w:t>
            </w:r>
          </w:p>
        </w:tc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經核對內容</w:t>
            </w:r>
          </w:p>
        </w:tc>
      </w:tr>
      <w:tr>
        <w:trPr>
          <w:cantSplit/>
        </w:trPr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文件編號</w:t>
            </w:r>
          </w:p>
        </w:tc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0132（內部 142 序列 doc_id）</w:t>
            </w:r>
          </w:p>
        </w:tc>
      </w:tr>
      <w:tr>
        <w:trPr>
          <w:cantSplit/>
        </w:trPr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內部要求</w:t>
            </w:r>
          </w:p>
        </w:tc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I19-E21（內部 crosswalk，不是官方流水號）</w:t>
            </w:r>
          </w:p>
        </w:tc>
      </w:tr>
      <w:tr>
        <w:trPr>
          <w:cantSplit/>
        </w:trPr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157 指標位置</w:t>
            </w:r>
          </w:p>
        </w:tc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I19-L3，index 145；官方資料表第 8 頁</w:t>
            </w:r>
          </w:p>
        </w:tc>
      </w:tr>
      <w:tr>
        <w:trPr>
          <w:cantSplit/>
        </w:trPr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官方方框原文</w:t>
            </w:r>
          </w:p>
        </w:tc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個人產品不良件數有下降趨勢。</w:t>
            </w:r>
          </w:p>
        </w:tc>
      </w:tr>
      <w:tr>
        <w:trPr>
          <w:cantSplit/>
        </w:trPr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印刷方框流水號</w:t>
            </w:r>
          </w:p>
        </w:tc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UNKNOWN；不得以 doc_id 或 index 代替</w:t>
            </w:r>
          </w:p>
        </w:tc>
      </w:tr>
      <w:tr>
        <w:trPr>
          <w:cantSplit/>
        </w:trPr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文件版本／狀態</w:t>
            </w:r>
          </w:p>
        </w:tc>
        <w:tc>
          <w:tcPr>
            <w:tcW w:type="dxa" w:w="506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R01／CANDIDATE，未經獨立語意審查、未正式接受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30 秒使用摘要</w:t>
      </w:r>
    </w:p>
    <w:p>
      <w:r>
        <w:rPr>
          <w:rFonts w:ascii="Microsoft JhengHei" w:hAnsi="Microsoft JhengHei" w:eastAsia="Microsoft JhengHei"/>
          <w:b/>
          <w:sz w:val="21"/>
        </w:rPr>
        <w:t>用途</w:t>
      </w:r>
      <w:r>
        <w:rPr>
          <w:rFonts w:ascii="Microsoft JhengHei" w:hAnsi="Microsoft JhengHei" w:eastAsia="Microsoft JhengHei"/>
          <w:sz w:val="21"/>
        </w:rPr>
        <w:t>：比較同一個人、同一產品族及同一檢驗判準下，訓練前後產品不良「件數」與「受檢分母校正率」，並把工具、材料、產品組合等其他變化攤開，避免把同時發生誤當訓練因果。</w:t>
      </w:r>
    </w:p>
    <w:p>
      <w:r>
        <w:rPr>
          <w:rFonts w:ascii="Microsoft JhengHei" w:hAnsi="Microsoft JhengHei" w:eastAsia="Microsoft JhengHei"/>
          <w:b/>
          <w:sz w:val="21"/>
        </w:rPr>
        <w:t>誰使用</w:t>
      </w:r>
      <w:r>
        <w:rPr>
          <w:rFonts w:ascii="Microsoft JhengHei" w:hAnsi="Microsoft JhengHei" w:eastAsia="Microsoft JhengHei"/>
          <w:sz w:val="21"/>
        </w:rPr>
        <w:t>：資料整理角色先填批次與檢驗紀錄；另一覆核角色重算分子、分母與百分點差；負責人依 HOLD／REJECT 規則決定補件或追蹤。角色代碼只供 SAMPLE 示範，不代表協會現有職務或人員。</w:t>
      </w:r>
    </w:p>
    <w:p>
      <w:r>
        <w:rPr>
          <w:rFonts w:ascii="Microsoft JhengHei" w:hAnsi="Microsoft JhengHei" w:eastAsia="Microsoft JhengHei"/>
          <w:b/>
          <w:sz w:val="21"/>
        </w:rPr>
        <w:t>何時使用</w:t>
      </w:r>
      <w:r>
        <w:rPr>
          <w:rFonts w:ascii="Microsoft JhengHei" w:hAnsi="Microsoft JhengHei" w:eastAsia="Microsoft JhengHei"/>
          <w:sz w:val="21"/>
        </w:rPr>
        <w:t>：每批檢查完成後登錄；完成至少三個可比訓前與訓後期間後，再做趨勢比較。</w:t>
      </w:r>
    </w:p>
    <w:p>
      <w:r>
        <w:rPr>
          <w:rFonts w:ascii="Microsoft JhengHei" w:hAnsi="Microsoft JhengHei" w:eastAsia="Microsoft JhengHei"/>
          <w:b/>
          <w:sz w:val="21"/>
        </w:rPr>
        <w:t>本份示範結果</w:t>
      </w:r>
      <w:r>
        <w:rPr>
          <w:rFonts w:ascii="Microsoft JhengHei" w:hAnsi="Microsoft JhengHei" w:eastAsia="Microsoft JhengHei"/>
          <w:sz w:val="21"/>
        </w:rPr>
        <w:t>：合成資料訓前 13/66 件（19.7%），訓後 8/70 件（11.4%），差 −8.27 個百分點；但訓後同時發生材料批號改變並導入裁切導板，只能描述 SAMPLE 趨勢，不能歸因於訓練，也不能聲稱協會績效。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1. 要回答的問題與範圍</w:t>
      </w:r>
    </w:p>
    <w:p>
      <w:r>
        <w:rPr>
          <w:rFonts w:ascii="Microsoft JhengHei" w:hAnsi="Microsoft JhengHei" w:eastAsia="Microsoft JhengHei"/>
          <w:sz w:val="21"/>
        </w:rPr>
        <w:t>本表要回答：「對同一個人的同一產品族，依同一版檢查判準，在已記錄的訓前與訓後期間，受檢產品中不良產品單位數及比率是否下降？期間中還有哪些因素改變？」它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證明課程有效、產品符合外部認證、協會達到 TTQS 分數，亦不取代產品安全或法定檢驗。</w:t>
      </w:r>
    </w:p>
    <w:p>
      <w:r>
        <w:rPr>
          <w:rFonts w:ascii="Microsoft JhengHei" w:hAnsi="Microsoft JhengHei" w:eastAsia="Microsoft JhengHei"/>
          <w:sz w:val="21"/>
        </w:rPr>
        <w:t>納入最終檢查完成且可定位批次／產品範圍的產品。原型、未完工、未送檢、返工、報廢及遺失品都要另列數量與處置；不得靜默排除以降低分子。前後產品族、檢查版次或判準不一致時，先分層或 HOLD，不得直接合併。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2. 指標定義與填表字典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cantSplit/>
          <w:tblHeader w:val="true"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定義／填法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受檢產品單位 N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同期、同範圍完成最終檢查的不同產品件數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批次清單與受檢清冊能去重；不可用預計產量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不良產品單位 D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至少一項凍結判準不符合的不同產品件數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一件有多個缺陷時，件數只計 1；缺陷事件另表記錄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不良率 R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不良率(%) = D ÷ N × 100%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 必須大於 0，且 D ≤ N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前後差 Δ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前後差（百分點）= 訓後 R − 訓前 R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以未四捨五入值計算；負值代表觀察到下降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相對下降率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相對下降率(%) = (訓前 R − 訓後 R) ÷ 訓前 R × 100%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訓前 R=0 時列 N/A，不得除以零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主要缺陷原因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每件不良品選一個主要原因；若實務採多原因，另計事件數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本示範原因分類互斥，原因合計須等於 D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檢驗版次／覆蓋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使用的檢查表版本及完成檢驗件數 ÷ 應納入件數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版次或覆蓋改變先分層；不足不得作直接比較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合成／真實來源 ID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逐批記錄可追溯代碼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SAMPLE ID 不得被描述成實際原始檔案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彙總比例使用「各期分子總和 ÷ 各期分母總和」，不是把每期百分比直接平均。展示數據四捨五入至小數 1 位；百分點差展示 2 位，先用未四捨五入值運算。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3. 操作流程與控制點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cantSplit/>
          <w:tblHeader w:val="true"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必留紀錄／控制點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異常處理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定義產品族、單位、期間及檢查版次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範圍代碼、納入與排除規則、判準版本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前後標準不同：分層或 HOLD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匯入每批最終檢驗清冊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批次、產品去識別碼、受檢件數、檢查日期、來源定位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缺批次清單或分母不明：HOLD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標記每件是否不良並選主要原因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不良判定項目、原因代碼、返工／報廢狀態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一件多缺陷不得重複算成多件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去重並檢查範圍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重複產品 ID、未檢件、跨期、產品組合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D&gt;N、分子分母不同期：REJECT 該列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分期及加權計算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N、D、R、Δ、相對下降率、未四捨五入值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複核者獨立重算；不一致先停發結論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記錄其他變化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工具、材料、製程、產品組合、檢驗者及判準變更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未揭露共同變化不得作因果解讀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討論趨勢及後續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觀察、限制、待補來源、措施、負責角色、期限、下次指標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不自創官方門檻或顯著性結論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示範角色：</w:t>
      </w:r>
      <w:r>
        <w:rPr>
          <w:rFonts w:ascii="Consolas" w:hAnsi="Consolas" w:eastAsia="Consolas"/>
          <w:color w:val="464646"/>
          <w:sz w:val="19"/>
        </w:rPr>
        <w:t>SYN-ROLE-DATA-01</w:t>
      </w:r>
      <w:r>
        <w:rPr>
          <w:rFonts w:ascii="Microsoft JhengHei" w:hAnsi="Microsoft JhengHei" w:eastAsia="Microsoft JhengHei"/>
          <w:sz w:val="21"/>
        </w:rPr>
        <w:t>（資料整理）、</w:t>
      </w:r>
      <w:r>
        <w:rPr>
          <w:rFonts w:ascii="Consolas" w:hAnsi="Consolas" w:eastAsia="Consolas"/>
          <w:color w:val="464646"/>
          <w:sz w:val="19"/>
        </w:rPr>
        <w:t>SYN-ROLE-CHECK-01</w:t>
      </w:r>
      <w:r>
        <w:rPr>
          <w:rFonts w:ascii="Microsoft JhengHei" w:hAnsi="Microsoft JhengHei" w:eastAsia="Microsoft JhengHei"/>
          <w:sz w:val="21"/>
        </w:rPr>
        <w:t>（獨立重算）、</w:t>
      </w:r>
      <w:r>
        <w:rPr>
          <w:rFonts w:ascii="Consolas" w:hAnsi="Consolas" w:eastAsia="Consolas"/>
          <w:color w:val="464646"/>
          <w:sz w:val="19"/>
        </w:rPr>
        <w:t>SYN-ROLE-FOLLOW-01</w:t>
      </w:r>
      <w:r>
        <w:rPr>
          <w:rFonts w:ascii="Microsoft JhengHei" w:hAnsi="Microsoft JhengHei" w:eastAsia="Microsoft JhengHei"/>
          <w:sz w:val="21"/>
        </w:rPr>
        <w:t>（追蹤）。均為虛構角色代碼，不是協會人員名冊或授權紀錄。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4. 完整 SAMPLE 個案與六批原始彙整</w:t>
      </w:r>
    </w:p>
    <w:p>
      <w:r>
        <w:rPr>
          <w:rFonts w:ascii="Microsoft JhengHei" w:hAnsi="Microsoft JhengHei" w:eastAsia="Microsoft JhengHei"/>
          <w:sz w:val="21"/>
        </w:rPr>
        <w:t xml:space="preserve">案例 </w:t>
      </w:r>
      <w:r>
        <w:rPr>
          <w:rFonts w:ascii="Consolas" w:hAnsi="Consolas" w:eastAsia="Consolas"/>
          <w:color w:val="464646"/>
          <w:sz w:val="19"/>
        </w:rPr>
        <w:t>SYN-0132-CASE-01</w:t>
      </w:r>
      <w:r>
        <w:rPr>
          <w:rFonts w:ascii="Microsoft JhengHei" w:hAnsi="Microsoft JhengHei" w:eastAsia="Microsoft JhengHei"/>
          <w:sz w:val="21"/>
        </w:rPr>
        <w:t xml:space="preserve">：假設性個人代碼 </w:t>
      </w:r>
      <w:r>
        <w:rPr>
          <w:rFonts w:ascii="Consolas" w:hAnsi="Consolas" w:eastAsia="Consolas"/>
          <w:color w:val="464646"/>
          <w:sz w:val="19"/>
        </w:rPr>
        <w:t>SYN-LEARNER-01</w:t>
      </w:r>
      <w:r>
        <w:rPr>
          <w:rFonts w:ascii="Microsoft JhengHei" w:hAnsi="Microsoft JhengHei" w:eastAsia="Microsoft JhengHei"/>
          <w:sz w:val="21"/>
        </w:rPr>
        <w:t>，假設產品族「小型布作收納袋」。這是表單和算法的合成測試案例，不代表協會曾有此課程、學員或產品。假設訓練示範日為 2026-06-15；訓前觀察 2026 年 3–5 月，訓後觀察 7–9 月。6 月是訓練／製程轉換期間，不併入前後分子或分母。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cantSplit/>
          <w:tblHeader w:val="true"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合成批次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合成檢查日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受檢 N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不良 D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不良率 D/N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訓前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SYN-B1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2026-03-10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20.0%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訓前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SYN-B2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2026-04-10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24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20.8%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訓前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SYN-B3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2026-05-10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22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18.2%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SYN-A1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2026-07-10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21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14.3%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SYN-A2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2026-08-10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12.0%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SYN-A3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2026-09-10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24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8.3%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主要原因每件只選一項，批次分類如下，核對原因數加總與不良件數一致：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cantSplit/>
          <w:tblHeader w:val="true"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合成批次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尺寸裁切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縫製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收邊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分類合計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本例每件不良品只歸入一個「主要原因」，故訓前原因加總 2+1+1+2+2+1+2+1+1=13，訓後 1+1+1+1+1+1+1+1=8。這是互斥的主要原因分類，不是缺陷事件數。若實務產品可同件有多項缺陷，另外建立缺陷事件表，不能把事件數放進 D。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5. 逐步計算與趨勢判讀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cantSplit/>
          <w:tblHeader w:val="true"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未四捨五入結果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報表顯示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訓前合計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N=20+24+22；D=4+5+4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N=66；D=13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13/66=19.69697…% → 19.7%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訓後合計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N=21+25+24；D=3+3+2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N=70；D=8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8/70=11.42857…% → 11.4%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百分點差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8/70×100 − 13/66×100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−8.26840… 個百分點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−8.27 個百分點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相對下降率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(13/66 − 8/70) ÷ (13/66) ×100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41.9780…%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42.0%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不良件數變化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(8−13) ÷ 13 ×100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−38.4615…%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減少 5 件／−38.5%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受檢量變化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(70−66) ÷ 66 ×100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+6.0606…%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增加 4 件／+6.1%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23560" cy="2700507"/>
            <wp:docPr id="1" name="Picture 1" descr="圖 1｜訓前與訓後加權不良率比較（SAMPLE／SYNTHETIC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oled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0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hAnsi="Microsoft JhengHei" w:eastAsia="Microsoft JhengHei"/>
          <w:color w:val="49535A"/>
          <w:sz w:val="18"/>
        </w:rPr>
        <w:t>圖 1｜訓前與訓後加權不良率比較（SAMPLE／SYNTHETIC）。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27333"/>
            <wp:docPr id="2" name="Picture 2" descr="圖 2｜六批逐期不良率；虛線為合成訓練與同時工具／材料變更界線，不是因果證據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2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hAnsi="Microsoft JhengHei" w:eastAsia="Microsoft JhengHei"/>
          <w:color w:val="49535A"/>
          <w:sz w:val="18"/>
        </w:rPr>
        <w:t>圖 2｜六批逐期不良率；虛線為合成訓練與同時工具／材料變更界線，不是因果證據。</w:t>
      </w:r>
    </w:p>
    <w:p>
      <w:r>
        <w:rPr>
          <w:rFonts w:ascii="Microsoft JhengHei" w:hAnsi="Microsoft JhengHei" w:eastAsia="Microsoft JhengHei"/>
          <w:b/>
          <w:sz w:val="21"/>
        </w:rPr>
        <w:t>結論只限於此合成案例</w:t>
      </w:r>
      <w:r>
        <w:rPr>
          <w:rFonts w:ascii="Microsoft JhengHei" w:hAnsi="Microsoft JhengHei" w:eastAsia="Microsoft JhengHei"/>
          <w:sz w:val="21"/>
        </w:rPr>
        <w:t>：三個訓後批次及彙總比率低於三個訓前批次，呈現下降趨勢。受檢件數增加，所以同時報件數與分母校正率；不得只用 13 件降到 8 件作結論。此案例總受檢量 136 件，屬示範資料，沒有做顯著性檢定，不能稱統計顯著或推論到其他產品／人員。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6. 缺陷原因與其他影響因素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cantSplit/>
          <w:tblHeader w:val="true"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主要原因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訓前件數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訓後件數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可觀察的示範變化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不可直接推論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尺寸裁切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合成記錄中少 3 件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不能單憑下降判定訓練造成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縫製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合成記錄中少 1 件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未知各批產品難度與操作差異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收邊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合成記錄中少 1 件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不能據此證明整體品質達標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合計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與不良單位 D 一致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只有 SAMPLE，不是協會實績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cantSplit/>
          <w:tblHeader w:val="true"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可能影響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本案例設定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解讀及真實資料須查什麼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檢驗判準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合成設定為同一版檢查表、判準未變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 須附各期間檢查表版次及版本差異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工具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訓後另導入紙型裁切導板（SYN）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是共同變化；需記生效日、使用範圍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材料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訓後更換材料批號（SYN）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材質或供應批差可能影響結果，須分層或註明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產品組合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本例假設同一產品族，仍可能存在款式差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 須以產品型號/款式分層，不能混合掩蓋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檢驗覆蓋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本例假設列示單位均完成檢驗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 須對照應檢清單、未檢、返工、報廢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人員／季節／批次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本例無真實觀測可核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REAL 應記檢驗者一致性、季節、製程及批次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因此不能寫「訓練使不良件數下降」。合宜寫法是：「本合成案例在列示範圍內觀察到不良率下降；訓後工具與材料也改變，訓練的獨立影響尚未識別。」若實際資料有相同問題，安排同標準、同產品族的後續批次追蹤或分層，不用事後敘述替代原始紀錄。</w:t>
      </w:r>
    </w:p>
    <w:p>
      <w:r>
        <w:br w:type="page"/>
      </w:r>
    </w:p>
    <w:p>
      <w:pPr>
        <w:pStyle w:val="Heading3"/>
      </w:pPr>
      <w:r>
        <w:rPr>
          <w:rFonts w:ascii="Microsoft JhengHei" w:hAnsi="Microsoft JhengHei" w:eastAsia="Microsoft JhengHei"/>
          <w:sz w:val="22"/>
        </w:rPr>
        <w:t>SAMPLE 後續查核排序（不是風險等級）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cantSplit/>
          <w:tblHeader w:val="true"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優先序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主要原因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訓後仍觀察到的件數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排序依據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下一步核查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1（並列）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尺寸裁切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訓後剩餘件數與縫製並列最高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核對導板使用批次、裁切尺寸規格與逐件判定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1（並列）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縫製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訓後剩餘件數與裁切並列最高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分批核對縫線缺陷項目及返工是否重複計數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收邊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訓後列示件數較少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保留觀察，檢查判準及材料差異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這只是按本合成案例的「訓後件數」排序，以安排下一輪查核先後；沒有產品危害、嚴重度或實際成本資料，故不稱風險分數、不得宣告安全優先級。若實際產品含安全／法定要求，依真實產品規格及授權的風險程序另行處置，不以本表代替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7. 建議決定及追蹤表（SAMPLE）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cantSplit/>
          <w:tblHeader w:val="true"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待辦 ID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示範措施／追蹤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合成責任角色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示範期限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指標／完成證據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狀態界線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SYN-ACT-01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維持同版檢查清單，另記裁切導板使用批次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SYN-ROLE-FOLLOW-01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2026-10-10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下三批 N、D、判準版次及工具使用紀錄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SAMPLE 建議，非協會已核准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SYN-ACT-02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將材料批號納入分層欄，檢查是否為主要差異來源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SYN-ROLE-DATA-01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2026-10-15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每批材料批號與分層後 D/N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SAMPLE 建議，REAL 需原始批號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SYN-ACT-03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由另一角色重新抽核產品 ID 去重及 D/N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SYN-ROLE-CHECK-01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2026-10-20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抽核表、差異及更正軌跡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不得偽裝為正式覆核</w:t>
            </w:r>
          </w:p>
        </w:tc>
      </w:tr>
      <w:tr>
        <w:trPr>
          <w:cantSplit/>
        </w:trPr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SYN-ACT-04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三批後再判讀；不以本樣本宣告因果或顯著性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SYN-ROLE-FOLLOW-01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2027-01-10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三批原始清冊、完整分母、其他因素表</w:t>
            </w:r>
          </w:p>
        </w:tc>
        <w:tc>
          <w:tcPr>
            <w:tcW w:type="dxa" w:w="16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到期日是合成值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期限只屬範例，可在 REAL 替換區經授權後設定；不得把表中示範措施寫成已執行或已批准。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8. 可直接使用的逐批記錄表</w:t>
      </w:r>
    </w:p>
    <w:p>
      <w:pPr>
        <w:pStyle w:val="Heading3"/>
      </w:pPr>
      <w:r>
        <w:rPr>
          <w:rFonts w:ascii="Microsoft JhengHei" w:hAnsi="Microsoft JhengHei" w:eastAsia="Microsoft JhengHei"/>
          <w:sz w:val="22"/>
        </w:rPr>
        <w:t>SAMPLE 已填示範（每批來源 ID 皆為合成）</w:t>
      </w:r>
    </w:p>
    <w:p>
      <w:r>
        <w:rPr>
          <w:rFonts w:ascii="Microsoft JhengHei" w:hAnsi="Microsoft JhengHei" w:eastAsia="Microsoft JhengHei"/>
          <w:sz w:val="21"/>
        </w:rPr>
        <w:t>適用於下表全部批次的合成範圍為：布作收納袋／SYN-CHECK-v1；未檢／返工／報廢示範值均為 0／0／0。REAL 使用時須逐批填寫，不得沿用示範值。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cantSplit/>
          <w:tblHeader w:val="true"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批次 ID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N／D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不良率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來源／其他變化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判讀狀態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20／4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20.0%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SYN-LOG-B1；訓前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計入訓前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24／5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20.8%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SYN-LOG-B2；訓前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計入訓前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22／4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18.2%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SYN-LOG-B3；訓前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計入訓前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SYN-A1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21／3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14.3%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SYN-LOG-A1；導板／新材料 SYN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計入訓後；披露其他影響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25／3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12.0%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SYN-LOG-A2；導板／新材料 SYN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計入訓後；披露其他影響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SYN-A3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24／2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8.3%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SYN-LOG-A3；導板／新材料 SYN</w:t>
            </w:r>
          </w:p>
        </w:tc>
        <w:tc>
          <w:tcPr>
            <w:tcW w:type="dxa" w:w="202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計入訓後；披露其他影響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JhengHei" w:hAnsi="Microsoft JhengHei" w:eastAsia="Microsoft JhengHei"/>
          <w:sz w:val="22"/>
        </w:rPr>
        <w:t>REAL 原件替換區（目前未填＝未取得證據，不是已完成紀錄）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cantSplit/>
          <w:tblHeader w:val="true"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來源欄位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必須填入的真實定位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收件／核實狀態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產品族及去識別個人代碼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真實產品規格、去識別 ID、適用期間與授權依據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未提供，UNKNOWN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訓練資訊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真實日期、課程／活動原始紀錄、可驗來源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未提供，UNKNOWN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每批受檢與不良清冊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原始檢驗紀錄、批次、產品 ID、分子與分母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未提供，UNKNOWN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判準及版控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各期有效檢查表、變更日期、核定權源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未提供，UNKNOWN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工具／材料／製程變化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生效日期、適用批次、來源紀錄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未提供，UNKNOWN</w:t>
            </w:r>
          </w:p>
        </w:tc>
      </w:tr>
      <w:tr>
        <w:trPr>
          <w:cantSplit/>
        </w:trPr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複核與更正軌跡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真實覆核者授權、重算紀錄、差異處置</w:t>
            </w:r>
          </w:p>
        </w:tc>
        <w:tc>
          <w:tcPr>
            <w:tcW w:type="dxa" w:w="33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未提供，UNKNOWN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9. HOLD、REJECT 與資料更正</w:t>
      </w:r>
    </w:p>
    <w:p>
      <w:r>
        <w:rPr>
          <w:rFonts w:ascii="Microsoft JhengHei" w:hAnsi="Microsoft JhengHei" w:eastAsia="Microsoft JhengHei"/>
          <w:b/>
          <w:sz w:val="21"/>
        </w:rPr>
        <w:t>HOLD：暫不下趨勢結論，但可補資料。</w:t>
      </w:r>
      <w:r>
        <w:rPr>
          <w:rFonts w:ascii="Microsoft JhengHei" w:hAnsi="Microsoft JhengHei" w:eastAsia="Microsoft JhengHei"/>
          <w:sz w:val="21"/>
        </w:rPr>
        <w:t xml:space="preserve"> 分母缺失、檢驗覆蓋不明、只有彙總數沒有原始清冊、前後標準／產品族變更未分層、返工或報廢可能漏計、訓練日期無來源、工具材料等共同變化未披露，任一項即 HOLD。補齊來源、重算並留下覆核後才解除。</w:t>
      </w:r>
    </w:p>
    <w:p>
      <w:r>
        <w:rPr>
          <w:rFonts w:ascii="Microsoft JhengHei" w:hAnsi="Microsoft JhengHei" w:eastAsia="Microsoft JhengHei"/>
          <w:b/>
          <w:sz w:val="21"/>
        </w:rPr>
        <w:t>REJECT：該筆數據不得進入計算。</w:t>
      </w:r>
      <w:r>
        <w:rPr>
          <w:rFonts w:ascii="Microsoft JhengHei" w:hAnsi="Microsoft JhengHei" w:eastAsia="Microsoft JhengHei"/>
          <w:sz w:val="21"/>
        </w:rPr>
        <w:t xml:space="preserve"> 不良件數大於受檢數、重複產品或批次未去重、分子分母期間／產品範圍不同、把缺陷事件數當不良件數、為降低不良數刪除未檢／報廢／返工、算式與來源對不上，或 SAMPLE 標示被移除但沒有 REAL 原件。拒絕後保留原值、理由、更正者與重算 SHA／版本，不覆寫歷史。</w:t>
      </w:r>
    </w:p>
    <w:p>
      <w:r>
        <w:rPr>
          <w:rFonts w:ascii="Microsoft JhengHei" w:hAnsi="Microsoft JhengHei" w:eastAsia="Microsoft JhengHei"/>
          <w:sz w:val="21"/>
        </w:rPr>
        <w:t>官方文字沒有給本件固定達標百分比或統計顯著門檻，本文件不自創。地方管理目標只可在取得真實授權來源後另列版本；不能將示範中的改善數字稱為正式核准門檻。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10. SAMPLE／SYNTHETIC 逐事實替換簿</w:t>
      </w:r>
    </w:p>
    <w:p>
      <w:r>
        <w:rPr>
          <w:rFonts w:ascii="Microsoft JhengHei" w:hAnsi="Microsoft JhengHei" w:eastAsia="Microsoft JhengHei"/>
          <w:sz w:val="21"/>
        </w:rPr>
        <w:t>下表逐項列明合成敘述、數值、比率、原因、日期、來源代碼、角色及措施。</w:t>
      </w:r>
      <w:r>
        <w:rPr>
          <w:rFonts w:ascii="Consolas" w:hAnsi="Consolas" w:eastAsia="Consolas"/>
          <w:color w:val="464646"/>
          <w:sz w:val="19"/>
        </w:rPr>
        <w:t>SYN-*</w:t>
      </w:r>
      <w:r>
        <w:rPr>
          <w:rFonts w:ascii="Microsoft JhengHei" w:hAnsi="Microsoft JhengHei" w:eastAsia="Microsoft JhengHei"/>
          <w:sz w:val="21"/>
        </w:rPr>
        <w:t xml:space="preserve"> 代碼不指向真實原件；每個定位均以本文件章節／表格為準。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cantSplit/>
          <w:tblHeader w:val="true"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 ID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單一合成事實／值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精確文件定位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8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替換所需來源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SYN-0132-CASE-01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假設性個案，不代表協會活動或成果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§4–10 全文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合法授權的真實個案範圍與來源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SYN-LEARNER-01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假設個人代碼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首段、§8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真實去識別代碼與使用授權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SYN-PRODUCT-01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假設「小型布作收納袋」產品族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首段、§8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真實產品族／型號及規格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SYN-TRAIN-01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假設訓練示範日 2026-06-15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首段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真實日期及訓練原始紀錄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SYN-PERIOD-PRE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假設訓前期間 2026-03-01 至 2026-05-31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首段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真實觀察期間及逐期清冊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SYN-PERIOD-POST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假設訓後期間 2026-07-01 至 2026-09-30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首段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真實觀察期間及逐期清冊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2026-03-10；N=20；D=4；原因裁切2／縫製1／收邊1；率20.0%；來源 SYN-LOG-B1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六批表 row SYN-B1；§8 已填列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批次清單、逐件檢驗、判準版本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SYN-B2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2026-04-10；N=24；D=5；原因2／2／1；率20.8%；來源 SYN-LOG-B2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六批表 row SYN-B2；§8 已填列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批次清單、逐件檢驗、判準版本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SYN-B3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2026-05-10；N=22；D=4；原因2／1／1；率18.2%；來源 SYN-LOG-B3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六批表 row SYN-B3；§8 已填列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批次清單、逐件檢驗、判準版本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2026-07-10；N=21；D=3；原因1／1／1；率14.3%；來源 SYN-LOG-A1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六批表 row SYN-A1；§8 已填列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批次清單、逐件檢驗、判準版本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SYN-A2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2026-08-10；N=25；D=3；原因1／1／1；率12.0%；來源 SYN-LOG-A2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六批表 row SYN-A2；§8 已填列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批次清單、逐件檢驗、判準版本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2026-09-10；N=24；D=2；原因1／1／0；率8.3%；來源 SYN-LOG-A3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 六批表 row SYN-A3；§8 已填列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批次清單、逐件檢驗、判準版本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SYN-PRE-TOTAL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訓前 N=66、D=13、加權率19.69697…%=19.7%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§5 計算表 row 訓前合計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由真實逐批 N、D 重算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SYN-POST-TOTAL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 N=70、D=8、加權率11.42857…%=11.4%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§5 計算表 row 訓後合計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由真實逐批 N、D 重算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SYN-TOTAL-VOLUME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六批合計受檢136件（66+70）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§5 訓前／訓後合計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由真實逐批分母重算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SYN-EXCLUDED-01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六批未檢／返工／報廢示範值均為0／0／0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§8 範圍註記及六批填列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逐批未檢、返工、報廢原始清冊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SYN-DELTA-PP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訓後−訓前 = −8.26840… 個百分點，顯示−8.27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§5 計算表 row 百分點差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由真實未四捨五入比例重算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SYN-REL-DECLINE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相對下降41.9780…%，顯示42.0%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§5 計算表 row 相對下降率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訓前率非零且真實範圍可比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SYN-COUNT-CHANGE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D 13→8，−5件／−38.5%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§5 計算表 row 不良件數變化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真實不良產品單位逐件清冊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SYN-VOLUME-CHANGE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N 66→70，+4件／+6.1%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§5 計算表 row 受檢量變化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真實完整受檢單位清冊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SYN-CAUSE-1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尺寸裁切訓前6、訓後3件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§6 缺陷原因表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真實逐件主要原因編碼及判準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SYN-CAUSE-2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縫製訓前4、訓後3件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§6 缺陷原因表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真實逐件主要原因編碼及判準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SYN-CAUSE-3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收邊訓前3、訓後2件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§6 缺陷原因表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真實逐件主要原因編碼及判準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SYN-CAUSE-PRIORITY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合成訓後件數裁切3／縫製3並列優先，收邊2列第三；非風險評級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§6 查核排序表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真實逐件原因、授權風險程序及產品影響資料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SYN-CHECK-v1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前後使用相同檢查版次的假設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§4、§6、§8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各期真實檢查表及生效版次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SYN-TOOL-01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訓後導入紙型裁切導板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§6 因素表、§8、§10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真實工具生效日、批次及使用記錄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SYN-MATERIAL-01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訓後更換材料批號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§6 因素表、§8、§10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真實材料批號及變更記錄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SYN-SOURCE-B1…A3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六個批次來源代碼 SYN-LOG-B1 至 SYN-LOG-A3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§8 已填列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真實原始檔案、版本、頁碼與合法位置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SYN-ROLE-DATA-01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合成資料整理角色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§3、§7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真實授權責任角色與紀錄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SYN-ROLE-CHECK-01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合成獨立重算角色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§3、§7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真實覆核者授權及重算紀錄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SYN-ROLE-FOLLOW-01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合成後續追蹤角色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§3、§7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真實責任指派／追蹤原件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SYN-ACT-01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維持檢查表版次、記錄工具批次；示範期限2026-10-10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§7 row SYN-ACT-01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真實授權措施、期限及執行記錄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SYN-ACT-02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加入材料批號分層；示範期限2026-10-15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§7 row SYN-ACT-02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真實核定措施與材料來源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SYN-ACT-03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另一角色抽核 ID 去重、D/N；示範期限2026-10-20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§7 row SYN-ACT-03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2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真實抽核及差異更正紀錄</w:t>
            </w:r>
          </w:p>
        </w:tc>
      </w:tr>
      <w:tr>
        <w:trPr>
          <w:cantSplit/>
        </w:trPr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SYN-ACT-04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三批後再判讀；示範期限2027-01-10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§7 row SYN-ACT-04</w:t>
            </w:r>
          </w:p>
        </w:tc>
        <w:tc>
          <w:tcPr>
            <w:tcW w:type="dxa" w:w="253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真實追蹤週期及原始批次資料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所有列示均是合成值。沒有相應原件時，該值只能留在清楚標示的 SAMPLE 區，</w:t>
      </w:r>
      <w:r>
        <w:rPr>
          <w:rFonts w:ascii="Consolas" w:hAnsi="Consolas" w:eastAsia="Consolas"/>
          <w:color w:val="464646"/>
          <w:sz w:val="19"/>
        </w:rPr>
        <w:t>REAL_EVIDENCE=UNKNOWN</w:t>
      </w:r>
      <w:r>
        <w:rPr>
          <w:rFonts w:ascii="Microsoft JhengHei" w:hAnsi="Microsoft JhengHei" w:eastAsia="Microsoft JhengHei"/>
          <w:sz w:val="21"/>
        </w:rPr>
        <w:t>；不得將合成數字移入 REAL 欄，也不得宣稱示範措施已核准或已執行。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11. 與相鄰文件的界線及附件索引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0131／I19-E20</w:t>
      </w:r>
      <w:r>
        <w:rPr>
          <w:rFonts w:ascii="Microsoft JhengHei" w:hAnsi="Microsoft JhengHei" w:eastAsia="Microsoft JhengHei"/>
          <w:sz w:val="21"/>
        </w:rPr>
        <w:t>：學員證照通過與訓後就業追蹤，對象和分母是人／追蹤名冊；本件對象及分母是產品單位，不能把就業率貼到產品表。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0133／I19-E22</w:t>
      </w:r>
      <w:r>
        <w:rPr>
          <w:rFonts w:ascii="Microsoft JhengHei" w:hAnsi="Microsoft JhengHei" w:eastAsia="Microsoft JhengHei"/>
          <w:sz w:val="21"/>
        </w:rPr>
        <w:t>：年度訓練班次及參訓人次，衡量單位是班次／人次；不是產品品質趨勢。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0130／I19-E19</w:t>
      </w:r>
      <w:r>
        <w:rPr>
          <w:rFonts w:ascii="Microsoft JhengHei" w:hAnsi="Microsoft JhengHei" w:eastAsia="Microsoft JhengHei"/>
          <w:sz w:val="21"/>
        </w:rPr>
        <w:t>：學員訓後創業案例及第三方個案來源；本件不創設創業或第三方事實。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本件獨立案例 ID 為 </w:t>
      </w:r>
      <w:r>
        <w:rPr>
          <w:rFonts w:ascii="Consolas" w:hAnsi="Consolas" w:eastAsia="Consolas"/>
          <w:color w:val="464646"/>
          <w:sz w:val="19"/>
        </w:rPr>
        <w:t>SYN-0132-CASE-01</w:t>
      </w:r>
      <w:r>
        <w:rPr>
          <w:rFonts w:ascii="Microsoft JhengHei" w:hAnsi="Microsoft JhengHei" w:eastAsia="Microsoft JhengHei"/>
          <w:sz w:val="21"/>
        </w:rPr>
        <w:t>，不沿用 0131 的證照或就業案例數字，也沒有可確認共享的 REAL case_id。</w:t>
      </w:r>
    </w:p>
    <w:p>
      <w:r>
        <w:rPr>
          <w:rFonts w:ascii="Microsoft JhengHei" w:hAnsi="Microsoft JhengHei" w:eastAsia="Microsoft JhengHei"/>
          <w:sz w:val="21"/>
        </w:rPr>
        <w:t>本件來源：官方佐證表 p.8「個人產品不良件數有下降趨勢。」；專案 157 Blueprint I19-L3 index145；內部 crosswalk I19-E21→0132。索引與附件並不構成原始紀錄的替代品；原始點協會實際結果、核准及正式接受均未提供。</w:t>
      </w:r>
    </w:p>
    <w:p>
      <w:pPr>
        <w:pStyle w:val="Heading2"/>
      </w:pPr>
      <w:r>
        <w:rPr>
          <w:rFonts w:ascii="Microsoft JhengHei" w:hAnsi="Microsoft JhengHei" w:eastAsia="Microsoft JhengHei"/>
          <w:sz w:val="25"/>
        </w:rPr>
        <w:t>12. 使用前複核清單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文件 ID、I19-E21、index145 及官方 p.8 分開標示，沒有冒充 printed checkbox serial。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產品範圍、單位、判準、期間、受檢分母及未檢／返工／報廢均可核。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每批 D≤N；逐件去重；原因分類與不良件數一致。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訓前訓後以合併分子／分母重算；百分點與相對下降率口徑清楚。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其他變化如工具、材料、產品組合及檢驗版次已呈現；不作未證實因果或顯著性宣稱。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SAMPLE 全面可辨識；REAL 區空白只代表尚未取得，不是完成結果。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0131 與 0133 負向近鄰可排除；本件正文只呈現產品缺陷趨勢。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REAL 替換及任何正式核准須以可核實原件和合法權限完成；本候選不具正式接受效力。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893" w:bottom="950" w:left="89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A6770"/>
        <w:sz w:val="17"/>
      </w:rPr>
      <w:t xml:space="preserve">CANDIDATE　•　REAL EVIDENCE UNKNOWN　•　Page </w:t>
    </w:r>
    <w:r>
      <w:rPr>
        <w:rFonts w:ascii="Microsoft JhengHei" w:hAnsi="Microsoft JhengHei" w:eastAsia="Microsoft JhengHei"/>
        <w:color w:val="5A5A5A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A6770"/>
        <w:sz w:val="17"/>
      </w:rPr>
      <w:t>TTQS ONE　｜　0132　｜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6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62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7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66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0132 個人產品不良件數與訓後改善分析表</dc:title>
  <dc:subject>TTQS ONE I19-E21 | SAMPLE/SYNTHETIC candidate</dc:subject>
  <dc:creator>TTQS ONE candidate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