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t>文件編號：TTQS-0142｜官方要求：I19-E32｜157清單索引：156｜印刷 checkbox serial：UNKNOWN｜版本：1.1｜狀態：CANDIDATE／SAMPLE示範／未生效｜修訂日期：2026-10-28｜生效日期：未生效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　快速閱讀與本報告用途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表2　官方要求來源基礎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表3　核對欄位定義與驗證責任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表4　SAMPLE資料聲明與使用界線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表5　三年度營業額與其他收入示例｜SAMPLE資料集A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+10.00%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+10.00%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表6　示例資料定位與核對責任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表7　逐年及首末累計趨勢算式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  <w:cantSplit/>
        </w:trPr>
        <w:tc>
          <w:tcPr>
            <w:tcW w:type="dxa" w:w="26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核對項目與期間</w:t>
            </w:r>
          </w:p>
        </w:tc>
        <w:tc>
          <w:tcPr>
            <w:tcW w:type="dxa" w:w="420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逐步算式（含分子／分母）</w:t>
            </w:r>
          </w:p>
        </w:tc>
        <w:tc>
          <w:tcPr>
            <w:tcW w:type="dxa" w:w="327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結果、單位與可比性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2024營業額年增率｜本年1,320,000；前期1,200,000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分子=1,320,000−1,200,000=120,000；分母=1,200,000；120,000÷1,200,000×100%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+10.00%；百分比。僅在完整年度、幣別／單位及分類一致時可比；本例為SAMPLE假設。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2025營業額年增率｜本年1,452,000；前期1,320,000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分子=1,452,000−1,320,000=132,000；分母=1,320,000；132,000÷1,320,000×100%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+10.00%；百分比。僅在完整年度、幣別／單位及分類一致時可比；本例為SAMPLE假設。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2023至2025營業額累計變動｜末年1,452,000；基年1,200,000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分子=1,452,000−1,200,000=252,000；分母=1,200,000；252,000÷1,200,000×100%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+21.00%；百分比。此值不替代逐年正成長檢查；本例為SAMPLE假設。</w:t>
            </w:r>
          </w:p>
        </w:tc>
      </w:tr>
      <w:tr>
        <w:trPr>
          <w:cantSplit/>
        </w:trPr>
        <w:tc>
          <w:tcPr>
            <w:tcW w:type="dxa" w:w="2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2023至2025總收入累計變動｜末年1,752,000；基年1,480,000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分子=1,752,000−1,480,000=272,000；分母=1,480,000；272,000÷1,480,000×100%</w:t>
            </w:r>
          </w:p>
        </w:tc>
        <w:tc>
          <w:tcPr>
            <w:tcW w:type="dxa" w:w="32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+18.38%；百分比。總收入僅作旁列，不能替代營業額趨勢。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表8　SAMPLE算例判讀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示例判定</w:t>
              <w:br/>
              <w:t>在本組合成數值中，2024及2025營業額均高於前一年；三年營業額累計增加21.00%。按本文的逐年正增幅核對方法，算例符合持續成長的計算條件。此結論只描述示例，不能移作組織實績或外部財務證明。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表9　證據限制與例外處理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表10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官方要求與文件定位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官方原文：組織近三年營業額持續成長。｜Requirement：I19-E32｜157清單索引：156｜印刷 checkbox serial：UNKNOWN｜來源：TTQS訓練機構版查核佐證資料表實體第9頁。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資料、方法與判讀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第4節表5至表8提供三年度SAMPLE資料、來源定位、逐步算式及示例判讀；第8至12節表12至表16提供來源登錄、科目映射、帳表勾稽、例外停審及逐列替換。表5至表8均為SAMPLE/SYNTHETIC，不能證明本會實績。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限制、跨文件與升格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沒有受權三年財報、收入明細／總帳、科目映射及逐年調節證據；REAL=UNKNOWN/HOLD、官方分數NOT_ASSIGNED、正式接受NOT_GRANTED。只以本件SAMPLE ID追蹤；沒有共享REAL source_id/fact_id，不推定0139、0140、0141或其他文件的數字、期間或結論可沿用。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至表8；來源登錄、科目映射、帳表勾稽、停審條件及逐列替換見第8至12節表12至表16。版本：1.1（候選文件；SAMPLE/SYNTHETIC示範；未生效）；修訂日期及生效狀態依首頁文件控制資訊（I19-E32；157索引156；印刷序號UNKNOWN），不代表財務資料日期、覆核或核准日期。</w:t>
      </w:r>
    </w:p>
    <w:p>
      <w:r>
        <w:br w:type="page"/>
      </w:r>
    </w:p>
    <w:p>
      <w:pPr>
        <w:pStyle w:val="Heading1"/>
        <w:keepNext/>
      </w:pPr>
      <w:r>
        <w:t>8　年度來源登錄與原件調回</w:t>
      </w:r>
    </w:p>
    <w:p>
      <w:pPr>
        <w:spacing w:after="100"/>
      </w:pPr>
      <w:r>
        <w:t>表12以同一組合成資料示範逐年如何記錄來源識別、版本、期間、頁列、幣別與帳務基礎、核准狀態、整理／覆核角色及差異。列出的來源識別只指向本文件的SAMPLE資料集，並非實際財報、總帳或外部原件；REAL來源尚未提供，所有年份維持HOLD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表12　年度來源登錄（SAMPLE例示；REAL原件未提供）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735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年度與期間／SAMPLE來源ID</w:t>
            </w:r>
          </w:p>
        </w:tc>
        <w:tc>
          <w:tcPr>
            <w:tcW w:type="dxa" w:w="2097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SAMPLE來源、版本及文件定位</w:t>
            </w:r>
          </w:p>
        </w:tc>
        <w:tc>
          <w:tcPr>
            <w:tcW w:type="dxa" w:w="144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幣別／單位／帳務基礎</w:t>
            </w:r>
          </w:p>
        </w:tc>
        <w:tc>
          <w:tcPr>
            <w:tcW w:type="dxa" w:w="13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整理角色／核准狀態</w:t>
            </w:r>
          </w:p>
        </w:tc>
        <w:tc>
          <w:tcPr>
            <w:tcW w:type="dxa" w:w="1446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示例金額摘要</w:t>
            </w:r>
          </w:p>
        </w:tc>
        <w:tc>
          <w:tcPr>
            <w:tcW w:type="dxa" w:w="2097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REAL原件定位與狀態</w:t>
            </w:r>
          </w:p>
        </w:tc>
      </w:tr>
      <w:tr>
        <w:trPr>
          <w:cantSplit/>
        </w:trPr>
        <w:tc>
          <w:tcPr>
            <w:tcW w:type="dxa" w:w="17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SYN-SRC-2023-A｜2023-01-01至2023-12-31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本文件SAMPLE資料集A；表5第2023列；版本SYN-R01；非外部原件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新臺幣元；完整曆年；同一示例口徑假設</w:t>
            </w:r>
          </w:p>
        </w:tc>
        <w:tc>
          <w:tcPr>
            <w:tcW w:type="dxa" w:w="13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合成整理角色；無真人調閱或簽核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示例營業額1,200,000；其他收入280,000；總收入1,480,000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正式財報名稱／版本／頁碼、收入明細或總帳科目列、幣別與基礎、受控原件位置均未提供；REAL=UNKNOWN/HOLD</w:t>
            </w:r>
          </w:p>
        </w:tc>
      </w:tr>
      <w:tr>
        <w:trPr>
          <w:cantSplit/>
        </w:trPr>
        <w:tc>
          <w:tcPr>
            <w:tcW w:type="dxa" w:w="17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SYN-SRC-2024-A｜2024-01-01至2024-12-31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本文件SAMPLE資料集A；表5第2024列；版本SYN-R01；非外部原件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新臺幣元；完整曆年；同一示例口徑假設</w:t>
            </w:r>
          </w:p>
        </w:tc>
        <w:tc>
          <w:tcPr>
            <w:tcW w:type="dxa" w:w="13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合成整理角色；無真人調閱或簽核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示例營業額1,320,000；其他收入260,000；總收入1,580,000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正式財報名稱／版本／頁碼、收入明細或總帳科目列、幣別與基礎、受控原件位置均未提供；REAL=UNKNOWN/HOLD</w:t>
            </w:r>
          </w:p>
        </w:tc>
      </w:tr>
      <w:tr>
        <w:trPr>
          <w:cantSplit/>
        </w:trPr>
        <w:tc>
          <w:tcPr>
            <w:tcW w:type="dxa" w:w="17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SYN-SRC-2025-A｜2025-01-01至2025-12-31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本文件SAMPLE資料集A；表5第2025列；版本SYN-R01；非外部原件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新臺幣元；完整曆年；同一示例口徑假設</w:t>
            </w:r>
          </w:p>
        </w:tc>
        <w:tc>
          <w:tcPr>
            <w:tcW w:type="dxa" w:w="13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合成整理角色；無真人調閱或簽核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示例營業額1,452,000；其他收入300,000；總收入1,752,000</w:t>
            </w:r>
          </w:p>
        </w:tc>
        <w:tc>
          <w:tcPr>
            <w:tcW w:type="dxa" w:w="20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正式財報名稱／版本／頁碼、收入明細或總帳科目列、幣別與基礎、受控原件位置均未提供；REAL=UNKNOWN/HOLD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　科目映射與收入分類</w:t>
      </w:r>
    </w:p>
    <w:p>
      <w:pPr>
        <w:spacing w:after="100"/>
      </w:pPr>
      <w:r>
        <w:t>表13示範把「營業額」的案例假設和其他收入分開。非營利組織實際科目是否屬營業收入，必須由有權的財務資料保管者依組織會計科目表確認；本表的SAMPLE分類不是協會會計政策或正式核准。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表13　營業收入與其他收入科目映射（示例假設與REAL關卡）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663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科目ID／狀態</w:t>
            </w:r>
          </w:p>
        </w:tc>
        <w:tc>
          <w:tcPr>
            <w:tcW w:type="dxa" w:w="2169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合成科目與分類</w:t>
            </w:r>
          </w:p>
        </w:tc>
        <w:tc>
          <w:tcPr>
            <w:tcW w:type="dxa" w:w="1374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納入營業額？</w:t>
            </w:r>
          </w:p>
        </w:tc>
        <w:tc>
          <w:tcPr>
            <w:tcW w:type="dxa" w:w="224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示例依據及適用範圍</w:t>
            </w:r>
          </w:p>
        </w:tc>
        <w:tc>
          <w:tcPr>
            <w:tcW w:type="dxa" w:w="2675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REAL權責確認、版本與狀態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SYN-REV-SVC-01</w:t>
            </w:r>
          </w:p>
        </w:tc>
        <w:tc>
          <w:tcPr>
            <w:tcW w:type="dxa" w:w="21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示例服務收入；合成科目，不是真實科目代碼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本算例假設納入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只為示範逐年營業額公式；不代表協會科目映射</w:t>
            </w:r>
          </w:p>
        </w:tc>
        <w:tc>
          <w:tcPr>
            <w:tcW w:type="dxa" w:w="267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REAL科目表與權責確認未提供；UNKNOWN/HOLD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SYN-OTHER-AGG-01</w:t>
            </w:r>
          </w:p>
        </w:tc>
        <w:tc>
          <w:tcPr>
            <w:tcW w:type="dxa" w:w="21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示例其他收入合計；合成總額，不推定其構成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不納入本例營業額；另列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280,000／260,000／300,000只作其他收入欄，未拆成實際來源類別</w:t>
            </w:r>
          </w:p>
        </w:tc>
        <w:tc>
          <w:tcPr>
            <w:tcW w:type="dxa" w:w="267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REAL分類、原始科目與版本未確認；UNKNOWN/HOLD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REAL-CLASSIFICATION-GATE</w:t>
            </w:r>
          </w:p>
        </w:tc>
        <w:tc>
          <w:tcPr>
            <w:tcW w:type="dxa" w:w="21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捐款、補助、會費、利息、代收款、退款／折讓等候核項目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未核實前不自行納入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逐項比對財報列、總帳明細及分類依據；不以總收入替代營業額</w:t>
            </w:r>
          </w:p>
        </w:tc>
        <w:tc>
          <w:tcPr>
            <w:tcW w:type="dxa" w:w="267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由實際財務權責角色確認；原件、核准依據及版本未提供；HOLD</w:t>
            </w:r>
          </w:p>
        </w:tc>
      </w:tr>
    </w:tbl>
    <w:p>
      <w:pPr>
        <w:pStyle w:val="Heading1"/>
        <w:keepNext/>
      </w:pPr>
      <w:r>
        <w:t>10　年度帳表勾稽與差異調節</w:t>
      </w:r>
    </w:p>
    <w:p>
      <w:pPr>
        <w:spacing w:after="100"/>
      </w:pPr>
      <w:r>
        <w:t>表14先核對三年度示範收入合計，再把「算術差異」與「財報對總帳差異」分開。表內加總差異為SAMPLE數學檢查；未取得財報及總帳原件，因此正式帳表差異不是零，而是UNKNOWN/HOLD。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表14　年度收入勾稽與帳表差異調節（SAMPLE）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795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</w:t>
            </w:r>
          </w:p>
        </w:tc>
        <w:tc>
          <w:tcPr>
            <w:tcW w:type="dxa" w:w="1374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營業額（SAMPLE）</w:t>
            </w:r>
          </w:p>
        </w:tc>
        <w:tc>
          <w:tcPr>
            <w:tcW w:type="dxa" w:w="1374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其他收入（SAMPLE）</w:t>
            </w:r>
          </w:p>
        </w:tc>
        <w:tc>
          <w:tcPr>
            <w:tcW w:type="dxa" w:w="1374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總收入（SAMPLE）</w:t>
            </w:r>
          </w:p>
        </w:tc>
        <w:tc>
          <w:tcPr>
            <w:tcW w:type="dxa" w:w="224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示例加總差異</w:t>
            </w:r>
          </w:p>
        </w:tc>
        <w:tc>
          <w:tcPr>
            <w:tcW w:type="dxa" w:w="2965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正式財報／總帳差異與處理</w:t>
            </w:r>
          </w:p>
        </w:tc>
      </w:tr>
      <w:tr>
        <w:trPr>
          <w:cantSplit/>
        </w:trPr>
        <w:tc>
          <w:tcPr>
            <w:tcW w:type="dxa" w:w="7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1,200,000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280,000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1,480,000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1,200,000＋280,000−1,480,000＝0</w:t>
            </w:r>
          </w:p>
        </w:tc>
        <w:tc>
          <w:tcPr>
            <w:tcW w:type="dxa" w:w="2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財報／總帳原件未提供；UNKNOWN/HOLD</w:t>
            </w:r>
          </w:p>
        </w:tc>
      </w:tr>
      <w:tr>
        <w:trPr>
          <w:cantSplit/>
        </w:trPr>
        <w:tc>
          <w:tcPr>
            <w:tcW w:type="dxa" w:w="7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2024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1,320,000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260,000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1,580,000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1,320,000＋260,000−1,580,000＝0</w:t>
            </w:r>
          </w:p>
        </w:tc>
        <w:tc>
          <w:tcPr>
            <w:tcW w:type="dxa" w:w="2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財報／總帳原件未提供；UNKNOWN/HOLD</w:t>
            </w:r>
          </w:p>
        </w:tc>
      </w:tr>
      <w:tr>
        <w:trPr>
          <w:cantSplit/>
        </w:trPr>
        <w:tc>
          <w:tcPr>
            <w:tcW w:type="dxa" w:w="7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2025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1,452,000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300,000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1,752,000</w:t>
            </w:r>
          </w:p>
        </w:tc>
        <w:tc>
          <w:tcPr>
            <w:tcW w:type="dxa" w:w="22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1,452,000＋300,000−1,752,000＝0</w:t>
            </w:r>
          </w:p>
        </w:tc>
        <w:tc>
          <w:tcPr>
            <w:tcW w:type="dxa" w:w="29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財報／總帳原件未提供；UNKNOWN/HOLD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　例外停審與解除條件</w:t>
      </w:r>
    </w:p>
    <w:p>
      <w:pPr>
        <w:spacing w:after="100"/>
      </w:pPr>
      <w:r>
        <w:t>以下任一情形都必須先停下受影響年度或分類，不得以估算補值或SAMPLE結論解除REAL停審。實際責任人與期限只能由協會指定；在原件、權限或差異證據未完成前，維持UNKNOWN/HOLD。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表15　例外、停審責任與解除證據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569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停止條件</w:t>
            </w:r>
          </w:p>
        </w:tc>
        <w:tc>
          <w:tcPr>
            <w:tcW w:type="dxa" w:w="1413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受影響範圍</w:t>
            </w:r>
          </w:p>
        </w:tc>
        <w:tc>
          <w:tcPr>
            <w:tcW w:type="dxa" w:w="2119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判定／停止規則</w:t>
            </w:r>
          </w:p>
        </w:tc>
        <w:tc>
          <w:tcPr>
            <w:tcW w:type="dxa" w:w="1569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責任角色與期限</w:t>
            </w:r>
          </w:p>
        </w:tc>
        <w:tc>
          <w:tcPr>
            <w:tcW w:type="dxa" w:w="3453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解除證據及後續重算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正式年度財報或必要附註缺件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受影響年度；三年趨勢不得定案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HOLD；不外推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財務資料保管角色；實際期限由單位指定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取得授權版本、完整年度與可調回頁碼／科目列後重算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年度不連續、短年度或結帳狀態不明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相關年度與相鄰成長率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不可比；N/A／HOLD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資料整理角色與財務覆核角色；期限由單位指定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確認起訖日、結帳完成狀態及可比較的連續期間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前期基數≤0或金額單位不同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受影響公式與累計比較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該增幅=N/A；不得除以零或自行換算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覆核角色；期限由單位指定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取得權威幣別／單位及可用基期；保留原值與換算依據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營業收入科目尚未核定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所有營業額欄及成長結論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HOLD；其他收入不得代替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具權限財務資料保管角色；期限由單位指定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核對核准科目表、分類依據、年度適用版本及授權確認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財報與總帳／收入明細不相符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差異涉及年度、科目與總額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HOLD；差異不得寫成零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整理角色與獨立覆核角色；期限由單位指定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逐項定位差異、調整分錄及原件；重算並保留前後金額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捐款、補助、會費、代收款或一次性收入混入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受影響分類及趨勢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分類未決則排除並HOLD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財務權責角色；期限由單位指定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取得收入明細與分類依據；確認是否屬營業收入後重算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財報版本、核准狀態或來源位置不可追溯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相關年度原件與計算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HOLD；不得以截圖或未授權副本替代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原件保管角色；期限由單位指定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記錄正式名稱、版本、頁列、核准狀態及受控保存位置</w:t>
            </w:r>
          </w:p>
        </w:tc>
      </w:tr>
      <w:tr>
        <w:trPr>
          <w:cantSplit/>
        </w:trPr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REAL原件缺授權或不可公開</w:t>
            </w:r>
          </w:p>
        </w:tc>
        <w:tc>
          <w:tcPr>
            <w:tcW w:type="dxa" w:w="141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原件調閱／分享範圍</w:t>
            </w:r>
          </w:p>
        </w:tc>
        <w:tc>
          <w:tcPr>
            <w:tcW w:type="dxa" w:w="21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不得上傳或公開；維持UNKNOWN/HOLD</w:t>
            </w:r>
          </w:p>
        </w:tc>
        <w:tc>
          <w:tcPr>
            <w:tcW w:type="dxa" w:w="15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資料保管角色；期限由單位指定</w:t>
            </w:r>
          </w:p>
        </w:tc>
        <w:tc>
          <w:tcPr>
            <w:tcW w:type="dxa" w:w="34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在有權限的受控來源完成核對；公開版只列不敏感的驗收狀態</w:t>
            </w:r>
          </w:p>
        </w:tc>
      </w:tr>
    </w:tbl>
    <w:p>
      <w:pPr>
        <w:pStyle w:val="Heading1"/>
        <w:keepNext/>
      </w:pPr>
      <w:r>
        <w:t>12　逐列SAMPLE替換清冊</w:t>
      </w:r>
    </w:p>
    <w:p>
      <w:pPr>
        <w:spacing w:after="100"/>
      </w:pPr>
      <w:r>
        <w:t>表16列碼F01–F19逐列對應隨附CSV的display_id；CSV保留完整sample_fact_id供追溯。金額均為SAMPLE/SYNTHETIC，幣別以新臺幣為示範假設。REAL財務原件尚未提供者一律UNKNOWN/HOLD、未覆核、未替換；封面修訂資料不是財務證據，也不代表核准生效。</w:t>
      </w:r>
    </w:p>
    <w:p>
      <w:pPr>
        <w:pStyle w:val="Caption"/>
        <w:keepNext/>
        <w:spacing w:before="140" w:after="60"/>
      </w:pPr>
      <w:r>
        <w:rPr>
          <w:rFonts w:ascii="Microsoft JhengHei" w:hAnsi="Microsoft JhengHei" w:eastAsia="Microsoft JhengHei"/>
          <w:b/>
          <w:color w:val="1F1F1F"/>
          <w:sz w:val="21"/>
        </w:rPr>
        <w:t>表16　SAMPLE逐列替換清冊（19列；18項合成事實及1項文件控制中繼資料）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850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列碼</w:t>
            </w:r>
          </w:p>
        </w:tc>
        <w:tc>
          <w:tcPr>
            <w:tcW w:type="dxa" w:w="1545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文件位置</w:t>
            </w:r>
          </w:p>
        </w:tc>
        <w:tc>
          <w:tcPr>
            <w:tcW w:type="dxa" w:w="1700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SAMPLE示例值／單位</w:t>
            </w:r>
          </w:p>
        </w:tc>
        <w:tc>
          <w:tcPr>
            <w:tcW w:type="dxa" w:w="3941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REAL替換必要來源</w:t>
            </w:r>
          </w:p>
        </w:tc>
        <w:tc>
          <w:tcPr>
            <w:tcW w:type="dxa" w:w="2086"/>
            <w:vAlign w:val="center"/>
            <w:shd w:fill="1F4E78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REAL狀態／覆核／日期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F01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表5／6｜2023年度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2023完整曆年；SAMPLE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授權年度財報＋會計期間佐證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F02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表5營業收入／表6｜2023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1,200,000元；NTD假設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授權財報＋收入明細／總帳＋科目映射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F03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表5其他收入｜2023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280,000元；分列SAMPLE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授權財報＋已勾稽收入明細／總帳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F04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表5總收入／表14勾稽｜2023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1,480,000元；合成加總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授權財報＋收入明細／總帳勾稽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F05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表5／6｜2024年度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2024完整曆年；SAMPLE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授權年度財報＋會計期間佐證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F06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表5營業收入／表6｜2024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1,320,000元；NTD假設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授權財報＋收入明細／總帳＋科目映射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F07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表5其他收入｜2024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260,000元；分列SAMPLE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授權財報＋已勾稽收入明細／總帳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F08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表5總收入／表14勾稽｜2024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1,580,000元；合成加總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授權財報＋收入明細／總帳勾稽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F09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表5／6｜2025年度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2025完整曆年；SAMPLE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授權年度財報＋會計期間佐證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F10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表5營業收入／表6｜2025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1,452,000元；NTD假設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授權財報＋收入明細／總帳＋科目映射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F11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表5其他收入｜2025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300,000元；分列SAMPLE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授權財報＋已勾稽收入明細／總帳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F12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表5總收入／表14勾稽｜2025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1,752,000元；合成加總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授權財報＋收入明細／總帳勾稽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F13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表5年增率／表7｜2024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10.00%；合成重算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F14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表5年增率／表7｜2025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10.00%；合成重算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F15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表7營業收入累計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21.00%；合成重算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F16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表7總收入累計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18.38%；合成重算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REAL來源替換後重算並覆核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F17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表5–7幣別／單位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新臺幣元；示範假設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核定財報幣別與計量單位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F18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表4假設／表13科目映射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營業收入＝服務收入；合成假設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核定科目表＋財務角色確認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UNKNOWN/HOLD</w:t>
              <w:br/>
              <w:t>未覆核；未替換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F19</w:t>
            </w:r>
          </w:p>
        </w:tc>
        <w:tc>
          <w:tcPr>
            <w:tcW w:type="dxa" w:w="1545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封面版次控制欄</w:t>
            </w:r>
          </w:p>
        </w:tc>
        <w:tc>
          <w:tcPr>
            <w:tcW w:type="dxa" w:w="1700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2026-10-28；非財務事實</w:t>
            </w:r>
          </w:p>
        </w:tc>
        <w:tc>
          <w:tcPr>
            <w:tcW w:type="dxa" w:w="3941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受控版次紀錄；生效核准另查</w:t>
            </w:r>
          </w:p>
        </w:tc>
        <w:tc>
          <w:tcPr>
            <w:tcW w:type="dxa" w:w="2086"/>
            <w:vAlign w:val="center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1F1F1F"/>
                <w:sz w:val="19"/>
              </w:rPr>
              <w:t>不適用於REAL財務</w:t>
              <w:br/>
              <w:t>未核准生效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TTQS ONE / 0142 / I19-E32 / SAMPLE-SYNTHETIC candidate</dc:subject>
  <dc:creator/>
  <cp:keywords/>
  <dc:description>Candidate R06. REAL evidence UNKNOWN/HOLD; formal acceptance NOT_GRANTED.</dc:description>
  <cp:lastModifiedBy/>
  <cp:revision>1</cp:revision>
  <dcterms:created xsi:type="dcterms:W3CDTF">2026-10-03T01:31:23Z</dcterms:created>
  <dcterms:modified xsi:type="dcterms:W3CDTF">2026-10-03T20:31:05Z</dcterms:modified>
  <cp:category/>
</cp:coreProperties>
</file>