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20"/>
        <w:jc w:val="center"/>
      </w:pPr>
      <w:r>
        <w:rPr>
          <w:rFonts w:ascii="Arial" w:hAnsi="Arial" w:eastAsia="Microsoft JhengHei"/>
          <w:b/>
          <w:i w:val="0"/>
          <w:color w:val="17365D"/>
          <w:sz w:val="48"/>
        </w:rPr>
        <w:t>組織近三年營業額與收入趨勢核對報告</w:t>
      </w:r>
    </w:p>
    <w:p>
      <w:pPr>
        <w:spacing w:after="320"/>
        <w:jc w:val="center"/>
      </w:pPr>
      <w:r>
        <w:rPr>
          <w:rFonts w:ascii="Arial" w:hAnsi="Arial" w:eastAsia="Microsoft JhengHei"/>
          <w:b/>
          <w:i w:val="0"/>
          <w:color w:val="1F4E78"/>
          <w:sz w:val="26"/>
        </w:rPr>
        <w:t>TTQS ONE  |  文件 0142  |  I19-E32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37"/>
            <w:vAlign w:val="center"/>
            <w:shd w:fill="FFF2CC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22"/>
              </w:rPr>
              <w:t>重要狀態：本稿是可操作的候選核對工具，並含完整 SAMPLE/SYNTHETIC 算例。尚未取得協會授權三年度財報、收入明細/總帳與科目表；因此 REAL=UNKNOWN/HOLD，不能據此宣稱本會營業額成長。</w:t>
            </w:r>
          </w:p>
        </w:tc>
      </w:tr>
    </w:tbl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文件控制卡（封面控制資訊，不納入操作表編號）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240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值</w:t>
            </w:r>
          </w:p>
        </w:tc>
        <w:tc>
          <w:tcPr>
            <w:tcW w:type="dxa" w:w="1944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096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專案 / 文件</w:t>
            </w:r>
          </w:p>
        </w:tc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TTQS ONE / 0142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官方要求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I19-E32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157 方框索引</w:t>
            </w:r>
          </w:p>
        </w:tc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156</w:t>
            </w:r>
          </w:p>
        </w:tc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印刷 checkbox serial</w:t>
            </w:r>
          </w:p>
        </w:tc>
        <w:tc>
          <w:tcPr>
            <w:tcW w:type="dxa" w:w="309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版本 / 狀態</w:t>
            </w:r>
          </w:p>
        </w:tc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R06 / CANDIDATE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生效狀態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NOT ISSUED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候選建置日</w:t>
            </w:r>
          </w:p>
        </w:tc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2026-10-28</w:t>
            </w:r>
          </w:p>
        </w:tc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正式接受</w:t>
            </w:r>
          </w:p>
        </w:tc>
        <w:tc>
          <w:tcPr>
            <w:tcW w:type="dxa" w:w="309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NOT GRANTED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證據</w:t>
            </w:r>
          </w:p>
        </w:tc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UNKNOWN/HOLD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官方評分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NOT ASSIGNED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合成資料</w:t>
            </w:r>
          </w:p>
        </w:tc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SAMPLE/SYNTHETIC；僅驗算</w:t>
            </w:r>
          </w:p>
        </w:tc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核准 / 簽署</w:t>
            </w:r>
          </w:p>
        </w:tc>
        <w:tc>
          <w:tcPr>
            <w:tcW w:type="dxa" w:w="309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未主張；無簽核紀錄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唯一佐證目的：以三個連續完整會計年度的可調回財務原件及可核對帳簿，判斷營業額/營業收入是否逐年增加。此文件不是財報、會計簽證、官方評分或協會核准紀錄。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1. 核對目的、適用範圍與責任分工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核對對象限於同一組織三個連續完整會計年度的營業額/營業收入。服務收入、捐款、補助、會費、利息及代收款不得未經科目映射便合併。表 1 的職務分工是本候選工具所建議的作業角色，不證明原始點協會已採行或已指派人員。</w:t>
      </w:r>
    </w:p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表 1　責任角色與可交付控制點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46"/>
        <w:gridCol w:w="3346"/>
        <w:gridCol w:w="3346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職務角色</w:t>
            </w:r>
          </w:p>
        </w:tc>
        <w:tc>
          <w:tcPr>
            <w:tcW w:type="dxa" w:w="4320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執行工作</w:t>
            </w:r>
          </w:p>
        </w:tc>
        <w:tc>
          <w:tcPr>
            <w:tcW w:type="dxa" w:w="3744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完成證據 / 權限界線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資料保管/財務行政職務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依年度收集財報、查核/簽證文件、收入明細或總帳、科目表；登錄版本、頁碼/科目列、單位與保存位置。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原件清冊與來源定位；缺件逐項標 UNKNOWN/HOLD。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財務權責職務</w:t>
            </w:r>
          </w:p>
        </w:tc>
        <w:tc>
          <w:tcPr>
            <w:tcW w:type="dxa" w:w="432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確認營業額科目、會計基礎、幣別/單位、退款折讓與重分類處理；說明非營利科目是否適用。</w:t>
            </w:r>
          </w:p>
        </w:tc>
        <w:tc>
          <w:tcPr>
            <w:tcW w:type="dxa" w:w="37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有權責依據的科目映射；無文件化確認不得將假設升為 REAL。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獨立覆核職務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逐年核對財報與收入明細/總帳，重算差異與增幅，檢查完整期間和分母。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可追溯覆核紀錄、差異處理及重算版本；不得代替官方評分。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文件控管職務</w:t>
            </w:r>
          </w:p>
        </w:tc>
        <w:tc>
          <w:tcPr>
            <w:tcW w:type="dxa" w:w="432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維持版本、來源連結與變更軌跡；核對所有表格使用同一來源和期間。</w:t>
            </w:r>
          </w:p>
        </w:tc>
        <w:tc>
          <w:tcPr>
            <w:tcW w:type="dxa" w:w="37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受控版本及變更紀錄；不得自行簽核、核准或宣稱正式生效。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i w:val="0"/>
          <w:color w:val="1F4E78"/>
          <w:sz w:val="25"/>
        </w:rPr>
        <w:t>執行順序與停止點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1) 收件與授權：確認三年度財報及帳簿可由組織合法調回；敏感原件保存在受控位置，不放入未授權公開儲存。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2) 建立來源定位：記錄文件名、版本/日期、頁或科目列、幣別、單位、會計基礎、核准/簽證狀態與保管路徑。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3) 核實科目映射：由財務權責職務記錄每個帳科目納入或排除營業額的依據；未確認即停在 HOLD。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4) 逐年勾稽：財報收入列對照收入明細/總帳；差額須有原始調整憑證與覆核軌跡。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5) 僅在年度連續、口徑一致、差異解除及分母有效後計算趨勢；否則百分比標 N/A 並保留 HOLD。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6) 覆核後保存計算版本和差異處理；任何真實簽核或正式接受仍由具權責人員完成。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2. 真實來源登錄與調回定位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表 2 是 REAL 收件清冊。此候選建立時，未提供任何協會真實財報、查核/簽證報告、收入明細/總帳或科目表；各格均明列缺件，不以空白表示完成。三年度實際頁碼、科目列、版本、幣別、會計基礎、核准狀態、擷取/覆核日期與差異均為 UNKNOWN/HOLD。</w:t>
      </w:r>
    </w:p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表 2　REAL 財務來源登錄清冊（依完整年度逐年列示）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/>
        </w:trPr>
        <w:tc>
          <w:tcPr>
            <w:tcW w:type="dxa" w:w="1037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完整會計年度</w:t>
            </w:r>
          </w:p>
        </w:tc>
        <w:tc>
          <w:tcPr>
            <w:tcW w:type="dxa" w:w="2275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應取得來源及版本</w:t>
            </w:r>
          </w:p>
        </w:tc>
        <w:tc>
          <w:tcPr>
            <w:tcW w:type="dxa" w:w="1814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頁碼/科目列/原件位置</w:t>
            </w:r>
          </w:p>
        </w:tc>
        <w:tc>
          <w:tcPr>
            <w:tcW w:type="dxa" w:w="1613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幣別、單位、會計基礎</w:t>
            </w:r>
          </w:p>
        </w:tc>
        <w:tc>
          <w:tcPr>
            <w:tcW w:type="dxa" w:w="1800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核准與角色/日期</w:t>
            </w:r>
          </w:p>
        </w:tc>
        <w:tc>
          <w:tcPr>
            <w:tcW w:type="dxa" w:w="1469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差異及狀態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2023</w:t>
            </w:r>
          </w:p>
        </w:tc>
        <w:tc>
          <w:tcPr>
            <w:tcW w:type="dxa" w:w="227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年度財報：未提供</w:t>
              <w:br/>
              <w:t>查核/簽證報告：未提供</w:t>
              <w:br/>
              <w:t>收入明細/總帳：未提供</w:t>
              <w:br/>
              <w:t>科目表/映射：未提供</w:t>
            </w:r>
          </w:p>
        </w:tc>
        <w:tc>
          <w:tcPr>
            <w:tcW w:type="dxa" w:w="18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頁碼/科目列：未知 / HOLD</w:t>
              <w:br/>
              <w:t>文件版本及原件位置：未知 / HOLD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幣別/單位：未知 / HOLD</w:t>
              <w:br/>
              <w:t>會計基礎：未知 / HOLD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核准/簽證：未知 / HOLD</w:t>
              <w:br/>
              <w:t>擷取與覆核角色/日期：未執行</w:t>
            </w:r>
          </w:p>
        </w:tc>
        <w:tc>
          <w:tcPr>
            <w:tcW w:type="dxa" w:w="14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表帳差異：未能檢查；不得推定為零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2024</w:t>
            </w:r>
          </w:p>
        </w:tc>
        <w:tc>
          <w:tcPr>
            <w:tcW w:type="dxa" w:w="2275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年度財報：未提供</w:t>
              <w:br/>
              <w:t>查核/簽證報告：未提供</w:t>
              <w:br/>
              <w:t>收入明細/總帳：未提供</w:t>
              <w:br/>
              <w:t>科目表/映射：未提供</w:t>
            </w:r>
          </w:p>
        </w:tc>
        <w:tc>
          <w:tcPr>
            <w:tcW w:type="dxa" w:w="181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頁碼/科目列：未知 / HOLD</w:t>
              <w:br/>
              <w:t>文件版本及原件位置：未知 / HOLD</w:t>
            </w:r>
          </w:p>
        </w:tc>
        <w:tc>
          <w:tcPr>
            <w:tcW w:type="dxa" w:w="1613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幣別/單位：未知 / HOLD</w:t>
              <w:br/>
              <w:t>會計基礎：未知 / HOLD</w:t>
            </w:r>
          </w:p>
        </w:tc>
        <w:tc>
          <w:tcPr>
            <w:tcW w:type="dxa" w:w="180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核准/簽證：未知 / HOLD</w:t>
              <w:br/>
              <w:t>擷取與覆核角色/日期：未執行</w:t>
            </w:r>
          </w:p>
        </w:tc>
        <w:tc>
          <w:tcPr>
            <w:tcW w:type="dxa" w:w="146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表帳差異：未能檢查；不得推定為零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2025</w:t>
            </w:r>
          </w:p>
        </w:tc>
        <w:tc>
          <w:tcPr>
            <w:tcW w:type="dxa" w:w="227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年度財報：未提供</w:t>
              <w:br/>
              <w:t>查核/簽證報告：未提供</w:t>
              <w:br/>
              <w:t>收入明細/總帳：未提供</w:t>
              <w:br/>
              <w:t>科目表/映射：未提供</w:t>
            </w:r>
          </w:p>
        </w:tc>
        <w:tc>
          <w:tcPr>
            <w:tcW w:type="dxa" w:w="181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頁碼/科目列：未知 / HOLD</w:t>
              <w:br/>
              <w:t>文件版本及原件位置：未知 / HOLD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幣別/單位：未知 / HOLD</w:t>
              <w:br/>
              <w:t>會計基礎：未知 / HOLD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核准/簽證：未知 / HOLD</w:t>
              <w:br/>
              <w:t>擷取與覆核角色/日期：未執行</w:t>
            </w:r>
          </w:p>
        </w:tc>
        <w:tc>
          <w:tcPr>
            <w:tcW w:type="dxa" w:w="146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表帳差異：未能檢查；不得推定為零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解除條件：每年度完整原件已取得且可調回；來源定位及口徑可比；財務權責職務已確認科目映射；財報與帳簿逐項相符或有可查調整；獨立覆核完成。任一條件未達，REAL 維持 UNKNOWN/HOLD。</w:t>
      </w: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3. 科目映射與比較口徑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本表把 SAMPLE 算例中的「營業收入」視作一個計算欄位，不將它映射成協會實際服務收入。真實科目須由正式科目表、收入明細及有權責的財務角色確認；下表任何 SAMPLE 處理都不是協會分類決定。</w:t>
      </w:r>
    </w:p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表 3　科目映射、分類及納入邊界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1627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科目/收入類型</w:t>
            </w:r>
          </w:p>
        </w:tc>
        <w:tc>
          <w:tcPr>
            <w:tcW w:type="dxa" w:w="2102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SAMPLE 演示處理</w:t>
            </w:r>
          </w:p>
        </w:tc>
        <w:tc>
          <w:tcPr>
            <w:tcW w:type="dxa" w:w="2189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REAL 分類現況</w:t>
            </w:r>
          </w:p>
        </w:tc>
        <w:tc>
          <w:tcPr>
            <w:tcW w:type="dxa" w:w="2736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真實核實依據</w:t>
            </w:r>
          </w:p>
        </w:tc>
        <w:tc>
          <w:tcPr>
            <w:tcW w:type="dxa" w:w="1325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停止狀態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服務/營業收入</w:t>
            </w:r>
          </w:p>
        </w:tc>
        <w:tc>
          <w:tcPr>
            <w:tcW w:type="dxa" w:w="21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SAMPLE 算例假設納入營業收入</w:t>
            </w:r>
          </w:p>
        </w:tc>
        <w:tc>
          <w:tcPr>
            <w:tcW w:type="dxa" w:w="21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實際科目、收入條件與確認基礎均未提供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核對正式科目表、財報列、收入明細及權責確認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UNKNOWN/HOLD；不得升列 REAL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捐款/指定捐款</w:t>
            </w:r>
          </w:p>
        </w:tc>
        <w:tc>
          <w:tcPr>
            <w:tcW w:type="dxa" w:w="2102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算例另列或排除，不併入營業收入</w:t>
            </w:r>
          </w:p>
        </w:tc>
        <w:tc>
          <w:tcPr>
            <w:tcW w:type="dxa" w:w="218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實際分類及限制條件未提供</w:t>
            </w:r>
          </w:p>
        </w:tc>
        <w:tc>
          <w:tcPr>
            <w:tcW w:type="dxa" w:w="273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核對捐款用途、會計政策與財報呈列</w:t>
            </w:r>
          </w:p>
        </w:tc>
        <w:tc>
          <w:tcPr>
            <w:tcW w:type="dxa" w:w="1325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政府/民間補助</w:t>
            </w:r>
          </w:p>
        </w:tc>
        <w:tc>
          <w:tcPr>
            <w:tcW w:type="dxa" w:w="21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算例另列或排除，不併入營業收入</w:t>
            </w:r>
          </w:p>
        </w:tc>
        <w:tc>
          <w:tcPr>
            <w:tcW w:type="dxa" w:w="21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實際分類及補助條件未提供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核對補助核定、認列期間及帳務科目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會費/會員收入</w:t>
            </w:r>
          </w:p>
        </w:tc>
        <w:tc>
          <w:tcPr>
            <w:tcW w:type="dxa" w:w="2102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不納入算例營業收入</w:t>
            </w:r>
          </w:p>
        </w:tc>
        <w:tc>
          <w:tcPr>
            <w:tcW w:type="dxa" w:w="218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實際收入性質及認列政策未提供</w:t>
            </w:r>
          </w:p>
        </w:tc>
        <w:tc>
          <w:tcPr>
            <w:tcW w:type="dxa" w:w="273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核對章程/收費性質及已核准會計政策</w:t>
            </w:r>
          </w:p>
        </w:tc>
        <w:tc>
          <w:tcPr>
            <w:tcW w:type="dxa" w:w="1325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利息及投資收益</w:t>
            </w:r>
          </w:p>
        </w:tc>
        <w:tc>
          <w:tcPr>
            <w:tcW w:type="dxa" w:w="21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不納入算例營業收入</w:t>
            </w:r>
          </w:p>
        </w:tc>
        <w:tc>
          <w:tcPr>
            <w:tcW w:type="dxa" w:w="21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實際分類未提供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核對財報列、銀行對帳及會計政策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代收款/代付款</w:t>
            </w:r>
          </w:p>
        </w:tc>
        <w:tc>
          <w:tcPr>
            <w:tcW w:type="dxa" w:w="2102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不納入營業收入；避免把代收金額算成組織收入</w:t>
            </w:r>
          </w:p>
        </w:tc>
        <w:tc>
          <w:tcPr>
            <w:tcW w:type="dxa" w:w="218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實際代理關係及淨額/總額口徑未提供</w:t>
            </w:r>
          </w:p>
        </w:tc>
        <w:tc>
          <w:tcPr>
            <w:tcW w:type="dxa" w:w="273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核對契約、收付款憑證與會計處理依據</w:t>
            </w:r>
          </w:p>
        </w:tc>
        <w:tc>
          <w:tcPr>
            <w:tcW w:type="dxa" w:w="1325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UNKNOWN/HOLD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退款、折讓、沖銷、重分類</w:t>
            </w:r>
          </w:p>
        </w:tc>
        <w:tc>
          <w:tcPr>
            <w:tcW w:type="dxa" w:w="21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算例未另造調整數；真實案件須列原額、調整與依據</w:t>
            </w:r>
          </w:p>
        </w:tc>
        <w:tc>
          <w:tcPr>
            <w:tcW w:type="dxa" w:w="218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實際調整不存在於本候選證據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逐筆連結憑證、年度、科目、覆核及重算</w:t>
            </w:r>
          </w:p>
        </w:tc>
        <w:tc>
          <w:tcPr>
            <w:tcW w:type="dxa" w:w="13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UNKNOWN/HOLD；差異未解即停審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可比口徑必須固定或可調節：完整年度、幣別、金額單位、權責/現金基礎、收入確認政策、退款折讓、重分類及財報版本。不同口徑未能逐項調節時，不可用換算或估算製造可比性。</w:t>
      </w: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4. SAMPLE 年度勾稽演示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下表只示範將相同 SAMPLE 金額放入「模擬財報列」與「模擬帳簿列」後如何計算差異；沒有任何對應的真實財報、總帳或明細檔案。表中差額為算術設計值，不是查帳結論。SAMPLE 期間和金額均列於附錄 A 清冊。</w:t>
      </w:r>
    </w:p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表 4　SAMPLE 模擬財報/帳簿勾稽表（算術示範，非真實查核）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年度</w:t>
            </w:r>
          </w:p>
        </w:tc>
        <w:tc>
          <w:tcPr>
            <w:tcW w:type="dxa" w:w="1699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613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模擬財報列</w:t>
            </w:r>
          </w:p>
        </w:tc>
        <w:tc>
          <w:tcPr>
            <w:tcW w:type="dxa" w:w="1771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模擬明細/總帳列</w:t>
            </w:r>
          </w:p>
        </w:tc>
        <w:tc>
          <w:tcPr>
            <w:tcW w:type="dxa" w:w="1354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模擬差額</w:t>
            </w:r>
          </w:p>
        </w:tc>
        <w:tc>
          <w:tcPr>
            <w:tcW w:type="dxa" w:w="2736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證據解讀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2023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營業收入（SAMPLE）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1,200,000 NTD</w:t>
            </w:r>
          </w:p>
        </w:tc>
        <w:tc>
          <w:tcPr>
            <w:tcW w:type="dxa" w:w="17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2023</w:t>
            </w:r>
          </w:p>
        </w:tc>
        <w:tc>
          <w:tcPr>
            <w:tcW w:type="dxa" w:w="169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其他收入（分開列示）</w:t>
            </w:r>
          </w:p>
        </w:tc>
        <w:tc>
          <w:tcPr>
            <w:tcW w:type="dxa" w:w="1613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280,000 NTD</w:t>
            </w:r>
          </w:p>
        </w:tc>
        <w:tc>
          <w:tcPr>
            <w:tcW w:type="dxa" w:w="1771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2023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總收入（衍生值）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1,480,000 NTD</w:t>
            </w:r>
          </w:p>
        </w:tc>
        <w:tc>
          <w:tcPr>
            <w:tcW w:type="dxa" w:w="17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2024</w:t>
            </w:r>
          </w:p>
        </w:tc>
        <w:tc>
          <w:tcPr>
            <w:tcW w:type="dxa" w:w="169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營業收入（SAMPLE）</w:t>
            </w:r>
          </w:p>
        </w:tc>
        <w:tc>
          <w:tcPr>
            <w:tcW w:type="dxa" w:w="1613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1,320,000 NTD</w:t>
            </w:r>
          </w:p>
        </w:tc>
        <w:tc>
          <w:tcPr>
            <w:tcW w:type="dxa" w:w="1771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2024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其他收入（分開列示）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260,000 NTD</w:t>
            </w:r>
          </w:p>
        </w:tc>
        <w:tc>
          <w:tcPr>
            <w:tcW w:type="dxa" w:w="17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2024</w:t>
            </w:r>
          </w:p>
        </w:tc>
        <w:tc>
          <w:tcPr>
            <w:tcW w:type="dxa" w:w="169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總收入（衍生值）</w:t>
            </w:r>
          </w:p>
        </w:tc>
        <w:tc>
          <w:tcPr>
            <w:tcW w:type="dxa" w:w="1613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1,580,000 NTD</w:t>
            </w:r>
          </w:p>
        </w:tc>
        <w:tc>
          <w:tcPr>
            <w:tcW w:type="dxa" w:w="1771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2025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營業收入（SAMPLE）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1,452,000 NTD</w:t>
            </w:r>
          </w:p>
        </w:tc>
        <w:tc>
          <w:tcPr>
            <w:tcW w:type="dxa" w:w="17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2025</w:t>
            </w:r>
          </w:p>
        </w:tc>
        <w:tc>
          <w:tcPr>
            <w:tcW w:type="dxa" w:w="169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其他收入（分開列示）</w:t>
            </w:r>
          </w:p>
        </w:tc>
        <w:tc>
          <w:tcPr>
            <w:tcW w:type="dxa" w:w="1613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300,000 NTD</w:t>
            </w:r>
          </w:p>
        </w:tc>
        <w:tc>
          <w:tcPr>
            <w:tcW w:type="dxa" w:w="1771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2025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總收入（衍生值）</w:t>
            </w:r>
          </w:p>
        </w:tc>
        <w:tc>
          <w:tcPr>
            <w:tcW w:type="dxa" w:w="1613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1,752,000 NTD</w:t>
            </w:r>
          </w:p>
        </w:tc>
        <w:tc>
          <w:tcPr>
            <w:tcW w:type="dxa" w:w="177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同額 SAMPLE 演示值</w:t>
            </w:r>
          </w:p>
        </w:tc>
        <w:tc>
          <w:tcPr>
            <w:tcW w:type="dxa" w:w="1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 NTD（演示差額）</w:t>
            </w:r>
          </w:p>
        </w:tc>
        <w:tc>
          <w:tcPr>
            <w:tcW w:type="dxa" w:w="273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模擬行，非實際原件；REAL=UNKNOWN/HOLD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年度總額驗算：2023 年 1,200,000 + 280,000 = 1,480,000；2024 年 1,320,000 + 260,000 = 1,580,000；2025 年 1,452,000 + 300,000 = 1,752,000。其他收入全程獨立列示，不作營業收入趨勢的替代分子。</w:t>
      </w: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5. 趨勢計算、分母與判讀規則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公式：逐年增幅 =（本年營業收入 - 前一年營業收入）/ 前一年營業收入 × 100%；首年為基準年，不計增幅。累計變化 =（第三年 - 第一年）/ 第一年 × 100%。保留原始金額，結果顯示至小數點後兩位。下表的分子、分母均為 SAMPLE/SYNTHETIC。</w:t>
      </w:r>
    </w:p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表 5　SAMPLE 趨勢算式、分子/分母與結果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1757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440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比較期間</w:t>
            </w:r>
          </w:p>
        </w:tc>
        <w:tc>
          <w:tcPr>
            <w:tcW w:type="dxa" w:w="1944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分子</w:t>
            </w:r>
          </w:p>
        </w:tc>
        <w:tc>
          <w:tcPr>
            <w:tcW w:type="dxa" w:w="3139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分母及完整算式/結果</w:t>
            </w:r>
          </w:p>
        </w:tc>
        <w:tc>
          <w:tcPr>
            <w:tcW w:type="dxa" w:w="1699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可用範圍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營業收入逐年增幅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2024 對 2023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1,320,000 - 1,200,000 = 120,000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120,000 / 1,200,000 × 100 = +10.00%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SAMPLE 僅；REAL 未核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營業收入逐年增幅</w:t>
            </w:r>
          </w:p>
        </w:tc>
        <w:tc>
          <w:tcPr>
            <w:tcW w:type="dxa" w:w="14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2025 對 2024</w:t>
            </w:r>
          </w:p>
        </w:tc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1,452,000 - 1,320,000 = 132,000</w:t>
            </w:r>
          </w:p>
        </w:tc>
        <w:tc>
          <w:tcPr>
            <w:tcW w:type="dxa" w:w="313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132,000 / 1,320,000 × 100 = +10.00%</w:t>
            </w:r>
          </w:p>
        </w:tc>
        <w:tc>
          <w:tcPr>
            <w:tcW w:type="dxa" w:w="169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SAMPLE 僅；REAL 未核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營業收入三年累計變化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2025 對 2023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1,452,000 - 1,200,000 = 252,000</w:t>
            </w:r>
          </w:p>
        </w:tc>
        <w:tc>
          <w:tcPr>
            <w:tcW w:type="dxa" w:w="313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252,000 / 1,200,000 × 100 = +21.00%</w:t>
            </w:r>
          </w:p>
        </w:tc>
        <w:tc>
          <w:tcPr>
            <w:tcW w:type="dxa" w:w="16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SAMPLE 僅；REAL 未核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總收入三年累計變化（分開列示）</w:t>
            </w:r>
          </w:p>
        </w:tc>
        <w:tc>
          <w:tcPr>
            <w:tcW w:type="dxa" w:w="14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2025 對 2023</w:t>
            </w:r>
          </w:p>
        </w:tc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1,752,000 - 1,480,000 = 272,000</w:t>
            </w:r>
          </w:p>
        </w:tc>
        <w:tc>
          <w:tcPr>
            <w:tcW w:type="dxa" w:w="313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272,000 / 1,480,000 × 100 = +18.38%</w:t>
            </w:r>
          </w:p>
        </w:tc>
        <w:tc>
          <w:tcPr>
            <w:tcW w:type="dxa" w:w="1699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不得替代營業收入趨勢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i w:val="0"/>
          <w:color w:val="1F4E78"/>
          <w:sz w:val="25"/>
        </w:rPr>
        <w:t>真實判定規則</w:t>
      </w:r>
    </w:p>
    <w:p>
      <w:pPr>
        <w:pStyle w:val="ListBullet"/>
        <w:spacing w:after="40"/>
        <w:ind w:left="360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只有三個完整連續年度、同幣別/單位/會計基礎、科目映射已核實、帳表已勾稽且兩個年度增幅都大於 0，才可以描述「逐年成長」。</w:t>
      </w:r>
    </w:p>
    <w:p>
      <w:pPr>
        <w:pStyle w:val="ListBullet"/>
        <w:spacing w:after="40"/>
        <w:ind w:left="360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前期分母小於或等於 0、年度不連續、幣別/單位不一、分類不可調和或帳表差異未解時，該比較結果為 N/A；不得換算、推估或從總收入取代營業收入。</w:t>
      </w:r>
    </w:p>
    <w:p>
      <w:pPr>
        <w:pStyle w:val="ListBullet"/>
        <w:spacing w:after="40"/>
        <w:ind w:left="360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總收入、捐款、補助、會費或一次性收入只作分類後的附帶核對；不能掩蓋營業收入下降。</w:t>
      </w:r>
    </w:p>
    <w:p>
      <w:pPr>
        <w:pStyle w:val="ListBullet"/>
        <w:spacing w:after="40"/>
        <w:ind w:left="360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本候選 SAMPLE 的兩個年度增幅和三年累計算式通過算術演示，不表示協會任何年度成長。</w:t>
      </w: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6. 本候選判讀與正式結論邊界</w:t>
      </w:r>
    </w:p>
    <w:p>
      <w:pPr>
        <w:pStyle w:val="Heading2"/>
        <w:keepNext/>
        <w:spacing w:before="140" w:after="80"/>
      </w:pPr>
      <w:r>
        <w:rPr>
          <w:rFonts w:ascii="Arial" w:hAnsi="Arial" w:eastAsia="Microsoft JhengHei"/>
          <w:b/>
          <w:i w:val="0"/>
          <w:color w:val="1F4E78"/>
          <w:sz w:val="25"/>
        </w:rPr>
        <w:t>SAMPLE 與 REAL 結論分離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SAMPLE 算術：示例營業收入 1,200,000 → 1,320,000 → 1,452,000；逐年 +10.00%、+10.00%，累計 +21.00%。此結果只證明示例公式可重算。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REAL 財務證據：UNKNOWN/HOLD；目前沒有三年正式財報、收入明細/總帳、科目表及權責映射，故不得描述本會營業收入趨勢。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TTQS 評分 / 正式接受：NOT ASSIGNED / NOT GRANTED；本候選不是評分、核准、簽章或正式送審結果。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真實結論欄位只能在原件及覆核完成後更新，並須保留來源 ID、文件版本、頁碼/科目列、幣別/單位、計算工作底稿與覆核紀錄。若結果不符合逐年增長條件，應如實記錄，不得改選有利期間或把其他收入混入。</w:t>
      </w: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7. 例外登錄、停審及解除條件</w:t>
      </w:r>
    </w:p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表 6　例外、責任角色與停審解除條件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808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觸發條件</w:t>
            </w:r>
          </w:p>
        </w:tc>
        <w:tc>
          <w:tcPr>
            <w:tcW w:type="dxa" w:w="1944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影響範圍</w:t>
            </w:r>
          </w:p>
        </w:tc>
        <w:tc>
          <w:tcPr>
            <w:tcW w:type="dxa" w:w="2131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責任/狀態</w:t>
            </w:r>
          </w:p>
        </w:tc>
        <w:tc>
          <w:tcPr>
            <w:tcW w:type="dxa" w:w="3125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解除所需證據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任一年度財報、查核/簽證報告、收入明細/總帳或科目表缺件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受影響年度及整體三年趨勢</w:t>
            </w:r>
          </w:p>
        </w:tc>
        <w:tc>
          <w:tcPr>
            <w:tcW w:type="dxa" w:w="21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財務資料保管職務；持續 HOLD</w:t>
            </w:r>
          </w:p>
        </w:tc>
        <w:tc>
          <w:tcPr>
            <w:tcW w:type="dxa" w:w="31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取得授權原件、記錄版本/定位/基礎及覆核證據後再檢查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營業收入科目映射未由權責職務確認</w:t>
            </w:r>
          </w:p>
        </w:tc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相關科目與全部比較年度</w:t>
            </w:r>
          </w:p>
        </w:tc>
        <w:tc>
          <w:tcPr>
            <w:tcW w:type="dxa" w:w="2131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財務權責職務；不得計入 REAL</w:t>
            </w:r>
          </w:p>
        </w:tc>
        <w:tc>
          <w:tcPr>
            <w:tcW w:type="dxa" w:w="3125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受控科目表、書面分類依據及權責覆核完成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財報與總帳/明細不一致，或調整無憑證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受影響年度及跨年結果</w:t>
            </w:r>
          </w:p>
        </w:tc>
        <w:tc>
          <w:tcPr>
            <w:tcW w:type="dxa" w:w="21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財務行政與獨立覆核職務；停審</w:t>
            </w:r>
          </w:p>
        </w:tc>
        <w:tc>
          <w:tcPr>
            <w:tcW w:type="dxa" w:w="31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逐筆調整可回查、差異重算並留存覆核日期/版本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年度不連續、短年度或會計期間不同</w:t>
            </w:r>
          </w:p>
        </w:tc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相關年度比較</w:t>
            </w:r>
          </w:p>
        </w:tc>
        <w:tc>
          <w:tcPr>
            <w:tcW w:type="dxa" w:w="2131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資料整理職務；增幅標 N/A</w:t>
            </w:r>
          </w:p>
        </w:tc>
        <w:tc>
          <w:tcPr>
            <w:tcW w:type="dxa" w:w="3125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取得完整連續年度原件，或說明不可比並不作成長結論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前期分母 ≤ 0，或幣別/單位/基礎不可比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該比較列</w:t>
            </w:r>
          </w:p>
        </w:tc>
        <w:tc>
          <w:tcPr>
            <w:tcW w:type="dxa" w:w="21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獨立覆核職務；增幅標 N/A</w:t>
            </w:r>
          </w:p>
        </w:tc>
        <w:tc>
          <w:tcPr>
            <w:tcW w:type="dxa" w:w="31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有權責依據可調節至一致基礎；不得估算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捐款、補助、會費、利息或代收款可能混入營業收入</w:t>
            </w:r>
          </w:p>
        </w:tc>
        <w:tc>
          <w:tcPr>
            <w:tcW w:type="dxa" w:w="1944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涉及的科目及年度</w:t>
            </w:r>
          </w:p>
        </w:tc>
        <w:tc>
          <w:tcPr>
            <w:tcW w:type="dxa" w:w="2131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財務權責職務；維持分類 HOLD</w:t>
            </w:r>
          </w:p>
        </w:tc>
        <w:tc>
          <w:tcPr>
            <w:tcW w:type="dxa" w:w="3125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核對正式政策、原件與帳列，記錄納入/排除理由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原件含個資、帳戶資訊或未授權公開內容</w:t>
            </w:r>
          </w:p>
        </w:tc>
        <w:tc>
          <w:tcPr>
            <w:tcW w:type="dxa" w:w="19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該原件及同步包</w:t>
            </w:r>
          </w:p>
        </w:tc>
        <w:tc>
          <w:tcPr>
            <w:tcW w:type="dxa" w:w="21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資料保管/隱私權責職務；停止公開同步</w:t>
            </w:r>
          </w:p>
        </w:tc>
        <w:tc>
          <w:tcPr>
            <w:tcW w:type="dxa" w:w="312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保留受控來源；只同步獲准的摘要、遮罩內容與驗收收據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8. 近鄰要求排除與跨文件連結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本文件只對應 I19-E32 的三年營業額趨勢。只有共同、授權且可追溯的來源才可用 source_id/fact_id 建立跨文件連結；沒有共同真實來源，不推定數字、日期或結論相同。表 7 用於拒絕近鄰錯件。</w:t>
      </w:r>
    </w:p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表 7　相似但不同的官方要求與拒收界線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46"/>
        <w:gridCol w:w="3346"/>
        <w:gridCol w:w="334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文件 / 要求 / 索引</w:t>
            </w:r>
          </w:p>
        </w:tc>
        <w:tc>
          <w:tcPr>
            <w:tcW w:type="dxa" w:w="3168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唯一佐證用途</w:t>
            </w:r>
          </w:p>
        </w:tc>
        <w:tc>
          <w:tcPr>
            <w:tcW w:type="dxa" w:w="4608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本文件禁止的替代方式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0139 / I19-E29 / 索引 153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考照/就業率與分母</w:t>
            </w:r>
          </w:p>
        </w:tc>
        <w:tc>
          <w:tcPr>
            <w:tcW w:type="dxa" w:w="46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不作為營業收入、財報來源或成長結論。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0140 / I19-E30 / 索引 154</w:t>
            </w:r>
          </w:p>
        </w:tc>
        <w:tc>
          <w:tcPr>
            <w:tcW w:type="dxa" w:w="316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訓練資訊系統使用定義與期間</w:t>
            </w:r>
          </w:p>
        </w:tc>
        <w:tc>
          <w:tcPr>
            <w:tcW w:type="dxa" w:w="460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不替代財務原件、科目映射或年度勾稽。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0141 / I19-E31 / 索引 155</w:t>
            </w:r>
          </w:p>
        </w:tc>
        <w:tc>
          <w:tcPr>
            <w:tcW w:type="dxa" w:w="31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顧客滿意度多期同量尺統計</w:t>
            </w:r>
          </w:p>
        </w:tc>
        <w:tc>
          <w:tcPr>
            <w:tcW w:type="dxa" w:w="46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不替代營業額趨勢；不得借用其樣本、期間或分數。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9" w:h="16834"/>
          <w:pgMar w:top="950" w:right="936" w:bottom="950" w:left="936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240" w:after="80"/>
      </w:pPr>
      <w:r>
        <w:rPr>
          <w:rFonts w:ascii="Arial" w:hAnsi="Arial" w:eastAsia="Microsoft JhengHei"/>
          <w:b/>
          <w:i w:val="0"/>
          <w:color w:val="17365D"/>
          <w:sz w:val="32"/>
        </w:rPr>
        <w:t>附錄 A. SAMPLE/SYNTHETIC 替換清冊（逐項可追溯）</w:t>
      </w: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本附錄將 19 個示例/控制資料逐列綁定至本文件位置、合成值、REAL 必需來源及替換狀態；它同時附有 CSV 清冊。每個財務示例都是 SAMPLE/SYNTHETIC；最後一列為候選版本控制日期，不是財務證據。所有真實替換日期均尚未發生，因為未提供 REAL 來源。</w:t>
      </w:r>
    </w:p>
    <w:p>
      <w:pPr>
        <w:keepNext/>
        <w:spacing w:before="140" w:after="60"/>
      </w:pPr>
      <w:r>
        <w:rPr>
          <w:rFonts w:ascii="Arial" w:hAnsi="Arial" w:eastAsia="Microsoft JhengHei"/>
          <w:b/>
          <w:i w:val="0"/>
          <w:color w:val="1F4E78"/>
          <w:sz w:val="21"/>
        </w:rPr>
        <w:t>表 8　逐列 SAMPLE/控制資料替換清冊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70"/>
        <w:gridCol w:w="3870"/>
        <w:gridCol w:w="3870"/>
        <w:gridCol w:w="3870"/>
      </w:tblGrid>
      <w:tr>
        <w:trPr>
          <w:tblHeader w:val="true"/>
          <w:cantSplit/>
        </w:trPr>
        <w:tc>
          <w:tcPr>
            <w:tcW w:type="dxa" w:w="3240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sample_fact_id</w:t>
            </w:r>
          </w:p>
        </w:tc>
        <w:tc>
          <w:tcPr>
            <w:tcW w:type="dxa" w:w="3816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文件位置 / 欄位</w:t>
            </w:r>
          </w:p>
        </w:tc>
        <w:tc>
          <w:tcPr>
            <w:tcW w:type="dxa" w:w="2376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SAMPLE 或控制值</w:t>
            </w:r>
          </w:p>
        </w:tc>
        <w:tc>
          <w:tcPr>
            <w:tcW w:type="dxa" w:w="6048"/>
            <w:vAlign w:val="center"/>
            <w:shd w:fill="17365D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REAL 必需來源、狀態與替換日期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SYN-0142-FY-2023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2023年度勾稽列；附錄A本列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2023-01-01 至 2023-12-31；年末 2023-12-31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替換來源：經授權的完整年度財報及會計期間證明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SYN-0142-OPERATING-2023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2023年度 SAMPLE/SYNTHETIC 營業收入列；附錄A本列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1,200,000 NTD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替換來源：正式財報、收入明細/總帳及財務權責職務確認的科目映射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SYN-0142-OTHER-2023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2023年度其他收入分列；附錄A本列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280,000 NTD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替換來源：正式財報及已勾稽的收入明細/總帳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SYN-0142-TOTAL-2023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2023年度衍生總額列；附錄A本列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1,480,000 NTD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替換來源：正式財報及已勾稽的收入明細/總帳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SYN-0142-FY-2024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2024年度勾稽列；附錄A本列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2024-01-01 至 2024-12-31；年末 2024-12-31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替換來源：經授權的完整年度財報及會計期間證明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SYN-0142-OPERATING-2024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2024年度 SAMPLE/SYNTHETIC 營業收入列；附錄A本列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1,320,000 NTD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替換來源：正式財報、收入明細/總帳及財務權責職務確認的科目映射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SYN-0142-OTHER-2024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2024年度其他收入分列；附錄A本列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260,000 NTD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替換來源：正式財報及已勾稽的收入明細/總帳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SYN-0142-TOTAL-2024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2024年度衍生總額列；附錄A本列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1,580,000 NTD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替換來源：正式財報及已勾稽的收入明細/總帳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SYN-0142-FY-2025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2025年度勾稽列；附錄A本列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2025-01-01 至 2025-12-31；年末 2025-12-31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替換來源：經授權的完整年度財報及會計期間證明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SYN-0142-OPERATING-2025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2025年度 SAMPLE/SYNTHETIC 營業收入列；附錄A本列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1,452,000 NTD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替換來源：正式財報、收入明細/總帳及財務權責職務確認的科目映射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SYN-0142-OTHER-2025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2025年度其他收入分列；附錄A本列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300,000 NTD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替換來源：正式財報及已勾稽的收入明細/總帳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SYN-0142-TOTAL-2025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表4 2025年度衍生總額列；附錄A本列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1,752,000 NTD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替換來源：正式財報及已勾稽的收入明細/總帳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SYN-0142-OPERATING-YOY-2024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表5對應逐年算式/結果列；附錄A本列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+10.00%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替換來源：完成原件替換、口徑核實及帳表勾稽後的來源數據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SYN-0142-OPERATING-YOY-2025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表5對應逐年算式/結果列；附錄A本列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+10.00%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替換來源：完成原件替換、口徑核實及帳表勾稽後的來源數據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SYN-0142-OPERATING-CUMULATIVE-2023-2025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表5營業收入三年累計列；附錄A本列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+21.00%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替換來源：完成原件替換、科目映射及帳表勾稽後的來源數據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SYN-0142-TOTAL-CUMULATIVE-2023-2025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表5總收入三年累計列；附錄A本列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+18.38%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替換來源：完成原件替換及帳表勾稽後的來源數據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SYN-0142-CURRENCY-UNIT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表3至表5 SAMPLE/SYNTHETIC 基礎說明；附錄A本列 sample_fact_id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新臺幣（NTD）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替換來源：正式財報及一致的幣別/金額單位依據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SYN-0142-ACCOUNT-MAPPING-ASSUMPTION</w:t>
            </w:r>
          </w:p>
        </w:tc>
        <w:tc>
          <w:tcPr>
            <w:tcW w:type="dxa" w:w="381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表3 SAMPLE科目映射假設；附錄A本列 sample_fact_id</w:t>
            </w:r>
          </w:p>
        </w:tc>
        <w:tc>
          <w:tcPr>
            <w:tcW w:type="dxa" w:w="2376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示例假設：「營業收入」欄位對應「服務收入」；非協會分類決定</w:t>
            </w:r>
          </w:p>
        </w:tc>
        <w:tc>
          <w:tcPr>
            <w:tcW w:type="dxa" w:w="6048"/>
            <w:vAlign w:val="center"/>
            <w:shd w:fill="F4F7FA" w:val="clea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替換來源：正式科目表及文件化的財務權責職務映射</w:t>
              <w:br/>
              <w:t>狀態：UNKNOWN/HOLD</w:t>
              <w:br/>
              <w:t>替換日期：尚未替換；未提供授權 REAL 來源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SYN-0142-DOCUMENT-CONTROL-DATE</w:t>
            </w:r>
          </w:p>
        </w:tc>
        <w:tc>
          <w:tcPr>
            <w:tcW w:type="dxa" w:w="381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封面文件控制卡的候選建置日期</w:t>
            </w:r>
          </w:p>
        </w:tc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2026-10-28；R06候選建置日；未生效/未核准</w:t>
            </w:r>
          </w:p>
        </w:tc>
        <w:tc>
          <w:tcPr>
            <w:tcW w:type="dxa" w:w="60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7" w:lineRule="auto"/>
              <w:jc w:val="left"/>
            </w:pPr>
            <w:r>
              <w:rPr>
                <w:rFonts w:ascii="Arial" w:hAnsi="Arial" w:eastAsia="Microsoft JhengHei"/>
                <w:b w:val="0"/>
                <w:i w:val="0"/>
                <w:color w:val="243447"/>
                <w:sz w:val="19"/>
              </w:rPr>
              <w:t>REAL 替換來源：如獲核准使用，依實際受控文件登錄資料；不得作為財務證據</w:t>
              <w:br/>
              <w:t>狀態：不適用（版本控制資料，非財務證據）</w:t>
              <w:br/>
              <w:t>替換日期：不適用：控制資料，不是財務事實替換</w:t>
            </w:r>
          </w:p>
        </w:tc>
      </w:tr>
    </w:tbl>
    <w:p>
      <w:pPr>
        <w:spacing w:after="20"/>
      </w:pPr>
    </w:p>
    <w:p>
      <w:pPr>
        <w:widowControl/>
        <w:spacing w:after="100" w:line="264" w:lineRule="auto"/>
      </w:pPr>
      <w:r>
        <w:rPr>
          <w:rFonts w:ascii="Arial" w:hAnsi="Arial" w:eastAsia="Microsoft JhengHei"/>
          <w:b w:val="0"/>
          <w:i w:val="0"/>
          <w:color w:val="243447"/>
          <w:sz w:val="21"/>
        </w:rPr>
        <w:t>表 8 中 REAL 欄位均為明確狀態；UNKNOWN/HOLD 不是空白、不是已完成替換，也不是核准。若未來資料收件，逐項記錄原件保存位置、來源版本、頁/列、幣別/單位、權責映射、覆核角色/日期及替換日期，並重新計算和版本化。</w:t>
      </w:r>
    </w:p>
    <w:sectPr w:rsidR="00FC693F" w:rsidRPr="0006063C" w:rsidSect="00034616">
      <w:pgSz w:w="16834" w:h="11909" w:orient="landscape"/>
      <w:pgMar w:top="691" w:right="677" w:bottom="691" w:left="67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i w:val="0"/>
        <w:color w:val="526273"/>
        <w:sz w:val="19"/>
      </w:rPr>
      <w:t xml:space="preserve">CANDIDATE  |  REAL=UNKNOWN/HOLD  |  官方分數未指定  |  頁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/>
        <w:b/>
        <w:i w:val="0"/>
        <w:color w:val="1F4E78"/>
        <w:sz w:val="19"/>
      </w:rPr>
      <w:t>TTQS ONE  |  0142 / I19-E32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Microsoft JhengHei"/>
      <w:b w:val="0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JhengHei"/>
      <w:b w:val="0"/>
      <w:i/>
      <w:iCs/>
      <w:color w:val="5262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JhengHei"/>
      <w:b w:val="0"/>
      <w:color w:val="2434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JhengHei"/>
      <w:b w:val="0"/>
      <w:color w:val="24344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組織近三年營業額與收入趨勢核對報告 - 0142 R06 Candidate</dc:title>
  <dc:subject>TTQS ONE I19-E32 / checkbox index 156 / SAMPLE-SYNTHETIC only</dc:subject>
  <dc:creator>TTQS ONE Candidate Builder</dc:creator>
  <cp:keywords/>
  <dc:description>Candidate only. REAL evidence UNKNOWN/HOLD; not issued or formally accepted.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