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Microsoft JhengHei" w:hAnsi="Microsoft JhengHei" w:eastAsia="Microsoft JhengHei"/>
          <w:sz w:val="21"/>
        </w:rPr>
        <w:t>社群網站知識討論區使用頻率分析報告</w:t>
      </w:r>
    </w:p>
    <w:p>
      <w:pPr>
        <w:pStyle w:val="Heading1"/>
      </w:pPr>
      <w:r>
        <w:rPr>
          <w:rFonts w:ascii="Microsoft JhengHei" w:hAnsi="Microsoft JhengHei" w:eastAsia="Microsoft JhengHei"/>
          <w:sz w:val="21"/>
        </w:rPr>
        <w:t>1 封面／文件控制與執行摘要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 w:val="true"/>
          <w:cantSplit/>
        </w:trPr>
        <w:tc>
          <w:tcPr>
            <w:tcW w:type="dxa" w:w="481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17365D"/>
          </w:tcPr>
          <w:p>
            <w:pPr>
              <w:spacing w:after="0" w:line="240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控制項</w:t>
            </w:r>
          </w:p>
        </w:tc>
        <w:tc>
          <w:tcPr>
            <w:tcW w:type="dxa" w:w="481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17365D"/>
          </w:tcPr>
          <w:p>
            <w:pPr>
              <w:spacing w:after="0" w:line="240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內容</w:t>
            </w:r>
          </w:p>
        </w:tc>
      </w:tr>
      <w:tr>
        <w:trPr>
          <w:cantSplit/>
        </w:trPr>
        <w:tc>
          <w:tcPr>
            <w:tcW w:type="dxa" w:w="481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sz w:val="19"/>
              </w:rPr>
              <w:t>文件編號</w:t>
            </w:r>
          </w:p>
        </w:tc>
        <w:tc>
          <w:tcPr>
            <w:tcW w:type="dxa" w:w="481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sz w:val="19"/>
              </w:rPr>
              <w:t>doc_id=0109</w:t>
            </w:r>
          </w:p>
        </w:tc>
      </w:tr>
      <w:tr>
        <w:trPr>
          <w:cantSplit/>
        </w:trPr>
        <w:tc>
          <w:tcPr>
            <w:tcW w:type="dxa" w:w="481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2F6FA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sz w:val="19"/>
              </w:rPr>
              <w:t>官方要求</w:t>
            </w:r>
          </w:p>
        </w:tc>
        <w:tc>
          <w:tcPr>
            <w:tcW w:type="dxa" w:w="481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2F6FA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sz w:val="19"/>
              </w:rPr>
              <w:t>I18-E17：社群網站知識討論區，人員使用網站頻率高（參考佐證例）</w:t>
            </w:r>
          </w:p>
        </w:tc>
      </w:tr>
      <w:tr>
        <w:trPr>
          <w:cantSplit/>
        </w:trPr>
        <w:tc>
          <w:tcPr>
            <w:tcW w:type="dxa" w:w="481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sz w:val="19"/>
              </w:rPr>
              <w:t>官方方框流水號</w:t>
            </w:r>
          </w:p>
        </w:tc>
        <w:tc>
          <w:tcPr>
            <w:tcW w:type="dxa" w:w="481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sz w:val="19"/>
              </w:rPr>
              <w:t>UNKNOWN；不推定</w:t>
            </w:r>
          </w:p>
        </w:tc>
      </w:tr>
      <w:tr>
        <w:trPr>
          <w:cantSplit/>
        </w:trPr>
        <w:tc>
          <w:tcPr>
            <w:tcW w:type="dxa" w:w="481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2F6FA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sz w:val="19"/>
              </w:rPr>
              <w:t>157 專案內部索引</w:t>
            </w:r>
          </w:p>
        </w:tc>
        <w:tc>
          <w:tcPr>
            <w:tcW w:type="dxa" w:w="481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2F6FA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sz w:val="19"/>
              </w:rPr>
              <w:t>118；不是官方方框流水號</w:t>
            </w:r>
          </w:p>
        </w:tc>
      </w:tr>
      <w:tr>
        <w:trPr>
          <w:cantSplit/>
        </w:trPr>
        <w:tc>
          <w:tcPr>
            <w:tcW w:type="dxa" w:w="481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sz w:val="19"/>
              </w:rPr>
              <w:t>文類／案例</w:t>
            </w:r>
          </w:p>
        </w:tc>
        <w:tc>
          <w:tcPr>
            <w:tcW w:type="dxa" w:w="481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sz w:val="19"/>
              </w:rPr>
              <w:t>使用頻率分析報告；SYN-0109-CASE-01</w:t>
            </w:r>
          </w:p>
        </w:tc>
      </w:tr>
      <w:tr>
        <w:trPr>
          <w:cantSplit/>
        </w:trPr>
        <w:tc>
          <w:tcPr>
            <w:tcW w:type="dxa" w:w="481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2F6FA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sz w:val="19"/>
              </w:rPr>
              <w:t>資料界線</w:t>
            </w:r>
          </w:p>
        </w:tc>
        <w:tc>
          <w:tcPr>
            <w:tcW w:type="dxa" w:w="481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2F6FA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sz w:val="19"/>
              </w:rPr>
              <w:t>全文 SAMPLE/SYNTHETIC；協會真實平台、會員、日誌、權限、成效與核准均 UNKNOWN</w:t>
            </w:r>
          </w:p>
        </w:tc>
      </w:tr>
      <w:tr>
        <w:trPr>
          <w:cantSplit/>
        </w:trPr>
        <w:tc>
          <w:tcPr>
            <w:tcW w:type="dxa" w:w="481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sz w:val="19"/>
              </w:rPr>
              <w:t>官方來源</w:t>
            </w:r>
          </w:p>
        </w:tc>
        <w:tc>
          <w:tcPr>
            <w:tcW w:type="dxa" w:w="481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sz w:val="19"/>
              </w:rPr>
              <w:t>勞動力發展署《TTQS 查核佐證文件資料表—訓練機構版》第 7 頁；指標 18 的常見參考佐證例</w:t>
            </w:r>
          </w:p>
        </w:tc>
      </w:tr>
      <w:tr>
        <w:trPr>
          <w:cantSplit/>
        </w:trPr>
        <w:tc>
          <w:tcPr>
            <w:tcW w:type="dxa" w:w="481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2F6FA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sz w:val="19"/>
              </w:rPr>
              <w:t>對照與規格</w:t>
            </w:r>
          </w:p>
        </w:tc>
        <w:tc>
          <w:tcPr>
            <w:tcW w:type="dxa" w:w="481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2F6FA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sz w:val="19"/>
              </w:rPr>
              <w:t>正式對照：I18-E17 對應 doc_id 0109；157 索引 118 僅為內部索引，非官方方框流水號</w:t>
            </w:r>
          </w:p>
        </w:tc>
      </w:tr>
      <w:tr>
        <w:trPr>
          <w:cantSplit/>
        </w:trPr>
        <w:tc>
          <w:tcPr>
            <w:tcW w:type="dxa" w:w="481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sz w:val="19"/>
              </w:rPr>
              <w:t>合成觀察期</w:t>
            </w:r>
          </w:p>
        </w:tc>
        <w:tc>
          <w:tcPr>
            <w:tcW w:type="dxa" w:w="481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sz w:val="19"/>
              </w:rPr>
              <w:t>基準 2026-03-30～2026-06-28（13週）；示範 2026-06-29～2026-09-27（13週）</w:t>
            </w:r>
          </w:p>
        </w:tc>
      </w:tr>
      <w:tr>
        <w:trPr>
          <w:cantSplit/>
        </w:trPr>
        <w:tc>
          <w:tcPr>
            <w:tcW w:type="dxa" w:w="481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2F6FA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sz w:val="19"/>
              </w:rPr>
              <w:t>候選與正式接受狀態</w:t>
            </w:r>
          </w:p>
        </w:tc>
        <w:tc>
          <w:tcPr>
            <w:tcW w:type="dxa" w:w="481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2F6FA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sz w:val="19"/>
              </w:rPr>
              <w:t>CANDIDATE；REAL 資料未提供；正式接受未授權</w:t>
            </w:r>
          </w:p>
        </w:tc>
      </w:tr>
    </w:tbl>
    <w:p>
      <w:pPr>
        <w:spacing w:after="20"/>
      </w:pPr>
    </w:p>
    <w:p>
      <w:pPr>
        <w:spacing w:after="100" w:line="271" w:lineRule="auto"/>
      </w:pPr>
      <w:r>
        <w:rPr>
          <w:rFonts w:ascii="Microsoft JhengHei" w:hAnsi="Microsoft JhengHei" w:eastAsia="Microsoft JhengHei"/>
          <w:sz w:val="21"/>
        </w:rPr>
        <w:t>執行摘要（全部數字均為 SAMPLE／SYNTHETIC，不得解讀為真實協會績效）：</w:t>
      </w:r>
    </w:p>
    <w:p>
      <w:pPr>
        <w:pStyle w:val="ListBullet"/>
      </w:pPr>
      <w:r>
        <w:rPr>
          <w:rFonts w:ascii="Microsoft JhengHei" w:hAnsi="Microsoft JhengHei" w:eastAsia="Microsoft JhengHei"/>
          <w:sz w:val="21"/>
        </w:rPr>
        <w:t>活躍成員：基準期 5／8 人、示範期 7／8 人（各期至少有一個活躍週；全部為 SAMPLE／SYNTHETIC）。</w:t>
      </w:r>
    </w:p>
    <w:p>
      <w:pPr>
        <w:pStyle w:val="ListBullet"/>
      </w:pPr>
      <w:r>
        <w:rPr>
          <w:rFonts w:ascii="Microsoft JhengHei" w:hAnsi="Microsoft JhengHei" w:eastAsia="Microsoft JhengHei"/>
          <w:sz w:val="21"/>
        </w:rPr>
        <w:t>活躍人週：基準 13 人週 → 示範 47 人週。活躍週＝該週至少一次有效知識交流。</w:t>
      </w:r>
    </w:p>
    <w:p>
      <w:pPr>
        <w:pStyle w:val="ListBullet"/>
      </w:pPr>
      <w:r>
        <w:rPr>
          <w:rFonts w:ascii="Microsoft JhengHei" w:hAnsi="Microsoft JhengHei" w:eastAsia="Microsoft JhengHei"/>
          <w:sz w:val="21"/>
        </w:rPr>
        <w:t>互動總量：基準 18 → 示範 67。有效互動僅計新發表主題或實質回覆，排除登入、瀏覽、按讚、機器／測試帳號與重複事件。</w:t>
      </w:r>
    </w:p>
    <w:p>
      <w:pPr>
        <w:pStyle w:val="ListBullet"/>
      </w:pPr>
      <w:r>
        <w:rPr>
          <w:rFonts w:ascii="Microsoft JhengHei" w:hAnsi="Microsoft JhengHei" w:eastAsia="Microsoft JhengHei"/>
          <w:sz w:val="21"/>
        </w:rPr>
        <w:t>互動深度：每活躍人週平均 1.38 → 1.43；每活躍成員互動 3.60 → 9.57。互動總量與每活躍成員平均互動增加；須分離「觸及擴大」（P02、P05、P07 由零起動）與原有活躍者變化（P01、P03、P04、P06；P08 示範期歸零）。每活躍人週互動密度僅微升，總量成長不等於單週內容更深入；全為 SAMPLE/SYNTHETIC。</w:t>
      </w:r>
    </w:p>
    <w:p>
      <w:pPr>
        <w:pStyle w:val="Heading1"/>
      </w:pPr>
      <w:r>
        <w:rPr>
          <w:rFonts w:ascii="Microsoft JhengHei" w:hAnsi="Microsoft JhengHei" w:eastAsia="Microsoft JhengHei"/>
          <w:sz w:val="21"/>
        </w:rPr>
        <w:t>2 目的、官方佐證對應與範圍界線</w:t>
      </w:r>
    </w:p>
    <w:p>
      <w:pPr>
        <w:spacing w:after="100" w:line="271" w:lineRule="auto"/>
      </w:pPr>
      <w:r>
        <w:rPr>
          <w:rFonts w:ascii="Microsoft JhengHei" w:hAnsi="Microsoft JhengHei" w:eastAsia="Microsoft JhengHei"/>
          <w:sz w:val="21"/>
        </w:rPr>
        <w:t>本報告對應 I18-E17，說明如何把「社群網站知識討論區，人員使用網站頻率高」轉成有明確期間、對象、事件定義、分母與計算方式的使用頻率分析。它呈現一組完整的 SAMPLE／SYNTHETIC 案例，讓行政人員能照著檢查彙總數字；不表示原始點協會已設置或使用任何平台，也不表示協會取得評分、績效或核准。</w:t>
      </w:r>
    </w:p>
    <w:p>
      <w:pPr>
        <w:spacing w:after="100" w:line="271" w:lineRule="auto"/>
      </w:pPr>
      <w:r>
        <w:rPr>
          <w:rFonts w:ascii="Microsoft JhengHei" w:hAnsi="Microsoft JhengHei" w:eastAsia="Microsoft JhengHei"/>
          <w:sz w:val="21"/>
        </w:rPr>
        <w:t>專案正式對照把 I18-E17 對應至 doc_id 0109「社群網站知識討論區，人員使用頻率高_分析報告」。157 專案索引 118 僅供內部導覽，不是官方方框流水號；官方流水號目前 UNKNOWN，不推定。</w:t>
      </w:r>
    </w:p>
    <w:p>
      <w:pPr>
        <w:pStyle w:val="Heading2"/>
      </w:pPr>
      <w:r>
        <w:rPr>
          <w:rFonts w:ascii="Microsoft JhengHei" w:hAnsi="Microsoft JhengHei" w:eastAsia="Microsoft JhengHei"/>
          <w:sz w:val="21"/>
        </w:rPr>
        <w:t>2.1 與相近文件的區別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 w:val="true"/>
          <w:cantSplit/>
        </w:trPr>
        <w:tc>
          <w:tcPr>
            <w:tcW w:type="dxa" w:w="321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17365D"/>
          </w:tcPr>
          <w:p>
            <w:pPr>
              <w:spacing w:after="0" w:line="240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文件／要求</w:t>
            </w:r>
          </w:p>
        </w:tc>
        <w:tc>
          <w:tcPr>
            <w:tcW w:type="dxa" w:w="321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17365D"/>
          </w:tcPr>
          <w:p>
            <w:pPr>
              <w:spacing w:after="0" w:line="240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它處理的問題</w:t>
            </w:r>
          </w:p>
        </w:tc>
        <w:tc>
          <w:tcPr>
            <w:tcW w:type="dxa" w:w="321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17365D"/>
          </w:tcPr>
          <w:p>
            <w:pPr>
              <w:spacing w:after="0" w:line="240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本報告不處理的內容</w:t>
            </w:r>
          </w:p>
        </w:tc>
      </w:tr>
      <w:tr>
        <w:trPr>
          <w:cantSplit/>
        </w:trPr>
        <w:tc>
          <w:tcPr>
            <w:tcW w:type="dxa" w:w="321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sz w:val="19"/>
              </w:rPr>
              <w:t>0108／I18-E16</w:t>
            </w:r>
          </w:p>
        </w:tc>
        <w:tc>
          <w:tcPr>
            <w:tcW w:type="dxa" w:w="321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sz w:val="19"/>
              </w:rPr>
              <w:t>薪資或給付紀錄</w:t>
            </w:r>
          </w:p>
        </w:tc>
        <w:tc>
          <w:tcPr>
            <w:tcW w:type="dxa" w:w="321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sz w:val="19"/>
              </w:rPr>
              <w:t>不分析薪資，不引用薪資資料</w:t>
            </w:r>
          </w:p>
        </w:tc>
      </w:tr>
      <w:tr>
        <w:trPr>
          <w:cantSplit/>
        </w:trPr>
        <w:tc>
          <w:tcPr>
            <w:tcW w:type="dxa" w:w="321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2F6FA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sz w:val="19"/>
              </w:rPr>
              <w:t>0107／I18-E15</w:t>
            </w:r>
          </w:p>
        </w:tc>
        <w:tc>
          <w:tcPr>
            <w:tcW w:type="dxa" w:w="321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2F6FA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sz w:val="19"/>
              </w:rPr>
              <w:t>證照及通過情形</w:t>
            </w:r>
          </w:p>
        </w:tc>
        <w:tc>
          <w:tcPr>
            <w:tcW w:type="dxa" w:w="321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2F6FA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sz w:val="19"/>
              </w:rPr>
              <w:t>不分析考試、證照或資格</w:t>
            </w:r>
          </w:p>
        </w:tc>
      </w:tr>
      <w:tr>
        <w:trPr>
          <w:cantSplit/>
        </w:trPr>
        <w:tc>
          <w:tcPr>
            <w:tcW w:type="dxa" w:w="321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sz w:val="19"/>
              </w:rPr>
              <w:t>0105／I18-E13</w:t>
            </w:r>
          </w:p>
        </w:tc>
        <w:tc>
          <w:tcPr>
            <w:tcW w:type="dxa" w:w="321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sz w:val="19"/>
              </w:rPr>
              <w:t>課後改善調查</w:t>
            </w:r>
          </w:p>
        </w:tc>
        <w:tc>
          <w:tcPr>
            <w:tcW w:type="dxa" w:w="321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sz w:val="19"/>
              </w:rPr>
              <w:t>不把討論區使用當作課後改善成果</w:t>
            </w:r>
          </w:p>
        </w:tc>
      </w:tr>
      <w:tr>
        <w:trPr>
          <w:cantSplit/>
        </w:trPr>
        <w:tc>
          <w:tcPr>
            <w:tcW w:type="dxa" w:w="321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2F6FA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sz w:val="19"/>
              </w:rPr>
              <w:t>0100／0101／I18-E08</w:t>
            </w:r>
          </w:p>
        </w:tc>
        <w:tc>
          <w:tcPr>
            <w:tcW w:type="dxa" w:w="321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2F6FA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sz w:val="19"/>
              </w:rPr>
              <w:t>訓練前後自評與能力雷達</w:t>
            </w:r>
          </w:p>
        </w:tc>
        <w:tc>
          <w:tcPr>
            <w:tcW w:type="dxa" w:w="321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2F6FA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sz w:val="19"/>
              </w:rPr>
              <w:t>不以自評分數代替平台使用紀錄</w:t>
            </w:r>
          </w:p>
        </w:tc>
      </w:tr>
      <w:tr>
        <w:trPr>
          <w:cantSplit/>
        </w:trPr>
        <w:tc>
          <w:tcPr>
            <w:tcW w:type="dxa" w:w="321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sz w:val="19"/>
              </w:rPr>
              <w:t>I18-E19</w:t>
            </w:r>
          </w:p>
        </w:tc>
        <w:tc>
          <w:tcPr>
            <w:tcW w:type="dxa" w:w="321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sz w:val="19"/>
              </w:rPr>
              <w:t>組織績效</w:t>
            </w:r>
          </w:p>
        </w:tc>
        <w:tc>
          <w:tcPr>
            <w:tcW w:type="dxa" w:w="321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sz w:val="19"/>
              </w:rPr>
              <w:t>不把互動數直接當成組織績效或訓練造成的成效</w:t>
            </w:r>
          </w:p>
        </w:tc>
      </w:tr>
    </w:tbl>
    <w:p>
      <w:pPr>
        <w:spacing w:after="20"/>
      </w:pPr>
    </w:p>
    <w:p>
      <w:pPr>
        <w:spacing w:after="100" w:line="271" w:lineRule="auto"/>
      </w:pPr>
      <w:r>
        <w:rPr>
          <w:rFonts w:ascii="Microsoft JhengHei" w:hAnsi="Microsoft JhengHei" w:eastAsia="Microsoft JhengHei"/>
          <w:sz w:val="21"/>
        </w:rPr>
        <w:t>本件只回答本案例中討論區參與和互動頻率如何呈現；不與上述文件共用人員、資料或案例。</w:t>
      </w:r>
    </w:p>
    <w:p>
      <w:pPr>
        <w:pStyle w:val="Heading2"/>
      </w:pPr>
      <w:r>
        <w:rPr>
          <w:rFonts w:ascii="Microsoft JhengHei" w:hAnsi="Microsoft JhengHei" w:eastAsia="Microsoft JhengHei"/>
          <w:sz w:val="21"/>
        </w:rPr>
        <w:t>2.2 固定官方參考來源</w:t>
      </w:r>
    </w:p>
    <w:p>
      <w:pPr>
        <w:spacing w:after="100" w:line="271" w:lineRule="auto"/>
      </w:pPr>
      <w:r>
        <w:rPr>
          <w:rFonts w:ascii="Microsoft JhengHei" w:hAnsi="Microsoft JhengHei" w:eastAsia="Microsoft JhengHei"/>
          <w:sz w:val="21"/>
        </w:rPr>
        <w:t>以下來源是本件的固定對照，不能放進 SAMPLE 替換欄，也不能用合成數值覆蓋。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 w:val="true"/>
          <w:cantSplit/>
        </w:trPr>
        <w:tc>
          <w:tcPr>
            <w:tcW w:type="dxa" w:w="321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17365D"/>
          </w:tcPr>
          <w:p>
            <w:pPr>
              <w:spacing w:after="0" w:line="240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代號</w:t>
            </w:r>
          </w:p>
        </w:tc>
        <w:tc>
          <w:tcPr>
            <w:tcW w:type="dxa" w:w="321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17365D"/>
          </w:tcPr>
          <w:p>
            <w:pPr>
              <w:spacing w:after="0" w:line="240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來源與定位</w:t>
            </w:r>
          </w:p>
        </w:tc>
        <w:tc>
          <w:tcPr>
            <w:tcW w:type="dxa" w:w="321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17365D"/>
          </w:tcPr>
          <w:p>
            <w:pPr>
              <w:spacing w:after="0" w:line="240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性質與處理</w:t>
            </w:r>
          </w:p>
        </w:tc>
      </w:tr>
      <w:tr>
        <w:trPr>
          <w:cantSplit/>
        </w:trPr>
        <w:tc>
          <w:tcPr>
            <w:tcW w:type="dxa" w:w="321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sz w:val="19"/>
              </w:rPr>
              <w:t>O-01</w:t>
            </w:r>
          </w:p>
        </w:tc>
        <w:tc>
          <w:tcPr>
            <w:tcW w:type="dxa" w:w="321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sz w:val="19"/>
              </w:rPr>
              <w:t>勞動力發展署《TTQS 查核佐證文件資料表—訓練機構版》第 7 頁，指標 18 的 3 分常見參考佐證資料列：「社群網站知識討論區，人員使用網站頻率高。」</w:t>
            </w:r>
          </w:p>
        </w:tc>
        <w:tc>
          <w:tcPr>
            <w:tcW w:type="dxa" w:w="321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sz w:val="19"/>
              </w:rPr>
              <w:t>官方參考例，不是分數，也不是本會使用證明；固定引用，不替換</w:t>
            </w:r>
          </w:p>
        </w:tc>
      </w:tr>
      <w:tr>
        <w:trPr>
          <w:cantSplit/>
        </w:trPr>
        <w:tc>
          <w:tcPr>
            <w:tcW w:type="dxa" w:w="321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2F6FA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sz w:val="19"/>
              </w:rPr>
              <w:t>O-02</w:t>
            </w:r>
          </w:p>
        </w:tc>
        <w:tc>
          <w:tcPr>
            <w:tcW w:type="dxa" w:w="321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2F6FA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sz w:val="19"/>
              </w:rPr>
              <w:t>專案正式 129→142 對照：I18-E17 對應 doc_id 0109 與本報告類型</w:t>
            </w:r>
          </w:p>
        </w:tc>
        <w:tc>
          <w:tcPr>
            <w:tcW w:type="dxa" w:w="321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2F6FA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sz w:val="19"/>
              </w:rPr>
              <w:t>專案文件對照；固定保留，不代表協會已採用或核准</w:t>
            </w:r>
          </w:p>
        </w:tc>
      </w:tr>
      <w:tr>
        <w:trPr>
          <w:cantSplit/>
        </w:trPr>
        <w:tc>
          <w:tcPr>
            <w:tcW w:type="dxa" w:w="321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sz w:val="19"/>
              </w:rPr>
              <w:t>O-05</w:t>
            </w:r>
          </w:p>
        </w:tc>
        <w:tc>
          <w:tcPr>
            <w:tcW w:type="dxa" w:w="321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sz w:val="19"/>
              </w:rPr>
              <w:t>正式 129→142 對照列 I18-E08 → doc_id 0100、0101（學員前後自評表、能力提升雷達分析）</w:t>
            </w:r>
          </w:p>
        </w:tc>
        <w:tc>
          <w:tcPr>
            <w:tcW w:type="dxa" w:w="321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sz w:val="19"/>
              </w:rPr>
              <w:t>僅作負向近鄰及文類區分；不作本件資料來源、協會事實或成效證據</w:t>
            </w:r>
          </w:p>
        </w:tc>
      </w:tr>
      <w:tr>
        <w:trPr>
          <w:cantSplit/>
        </w:trPr>
        <w:tc>
          <w:tcPr>
            <w:tcW w:type="dxa" w:w="321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2F6FA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sz w:val="19"/>
              </w:rPr>
              <w:t>O-03</w:t>
            </w:r>
          </w:p>
        </w:tc>
        <w:tc>
          <w:tcPr>
            <w:tcW w:type="dxa" w:w="321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2F6FA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sz w:val="19"/>
              </w:rPr>
              <w:t>157 專案索引 118</w:t>
            </w:r>
          </w:p>
        </w:tc>
        <w:tc>
          <w:tcPr>
            <w:tcW w:type="dxa" w:w="321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2F6FA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sz w:val="19"/>
              </w:rPr>
              <w:t>僅為內部索引；不得稱為官方方框流水號</w:t>
            </w:r>
          </w:p>
        </w:tc>
      </w:tr>
      <w:tr>
        <w:trPr>
          <w:cantSplit/>
        </w:trPr>
        <w:tc>
          <w:tcPr>
            <w:tcW w:type="dxa" w:w="321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sz w:val="19"/>
              </w:rPr>
              <w:t>O-04</w:t>
            </w:r>
          </w:p>
        </w:tc>
        <w:tc>
          <w:tcPr>
            <w:tcW w:type="dxa" w:w="321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sz w:val="19"/>
              </w:rPr>
              <w:t>官方方框流水號</w:t>
            </w:r>
          </w:p>
        </w:tc>
        <w:tc>
          <w:tcPr>
            <w:tcW w:type="dxa" w:w="321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sz w:val="19"/>
              </w:rPr>
              <w:t>UNKNOWN；未提供，不自行填造</w:t>
            </w:r>
          </w:p>
        </w:tc>
      </w:tr>
    </w:tbl>
    <w:p>
      <w:pPr>
        <w:spacing w:after="20"/>
      </w:pPr>
    </w:p>
    <w:p>
      <w:pPr>
        <w:spacing w:after="100" w:line="271" w:lineRule="auto"/>
      </w:pPr>
      <w:r>
        <w:rPr>
          <w:rFonts w:ascii="Microsoft JhengHei" w:hAnsi="Microsoft JhengHei" w:eastAsia="Microsoft JhengHei"/>
          <w:sz w:val="21"/>
        </w:rPr>
        <w:t>官方資料表將此列為指標 18 的 3 分常見參考佐證資料；它只說明可查核的資料類型，不證明平台存在、成員使用或本會得分。引用正確與真實使用證據是兩件事。</w:t>
      </w:r>
    </w:p>
    <w:p>
      <w:pPr>
        <w:pStyle w:val="Heading1"/>
      </w:pPr>
      <w:r>
        <w:rPr>
          <w:rFonts w:ascii="Microsoft JhengHei" w:hAnsi="Microsoft JhengHei" w:eastAsia="Microsoft JhengHei"/>
          <w:sz w:val="21"/>
        </w:rPr>
        <w:t>3 方法選擇與真實資料處理界線</w:t>
      </w:r>
    </w:p>
    <w:p>
      <w:pPr>
        <w:pStyle w:val="Heading2"/>
      </w:pPr>
      <w:r>
        <w:rPr>
          <w:rFonts w:ascii="Microsoft JhengHei" w:hAnsi="Microsoft JhengHei" w:eastAsia="Microsoft JhengHei"/>
          <w:sz w:val="21"/>
        </w:rPr>
        <w:t>3.1 分析方法比較</w:t>
      </w:r>
    </w:p>
    <w:p>
      <w:pPr>
        <w:pStyle w:val="ListBullet"/>
      </w:pPr>
      <w:r>
        <w:rPr>
          <w:rFonts w:ascii="Microsoft JhengHei" w:hAnsi="Microsoft JhengHei" w:eastAsia="Microsoft JhengHei"/>
          <w:b/>
          <w:sz w:val="21"/>
        </w:rPr>
        <w:t>設計 A（本案例採用）：等長 13 週基準期與示範期比較。</w:t>
      </w:r>
      <w:r>
        <w:rPr>
          <w:rFonts w:ascii="Microsoft JhengHei" w:hAnsi="Microsoft JhengHei" w:eastAsia="Microsoft JhengHei"/>
          <w:sz w:val="21"/>
        </w:rPr>
        <w:t xml:space="preserve"> 兩期間隔接續、天數相同，使用固定合成名冊與一致分母，行政人員可以從彙總表重算。限制是沒有對照組，不能把差異歸因於任何課程或活動。</w:t>
      </w:r>
    </w:p>
    <w:p>
      <w:pPr>
        <w:pStyle w:val="ListBullet"/>
      </w:pPr>
      <w:r>
        <w:rPr>
          <w:rFonts w:ascii="Microsoft JhengHei" w:hAnsi="Microsoft JhengHei" w:eastAsia="Microsoft JhengHei"/>
          <w:b/>
          <w:sz w:val="21"/>
        </w:rPr>
        <w:t>設計 B（本案例不採）：26 週週別趨勢或中斷時間序列。</w:t>
      </w:r>
      <w:r>
        <w:rPr>
          <w:rFonts w:ascii="Microsoft JhengHei" w:hAnsi="Microsoft JhengHei" w:eastAsia="Microsoft JhengHei"/>
          <w:sz w:val="21"/>
        </w:rPr>
        <w:t xml:space="preserve"> 這種方法需要每週或逐筆事件資料。本案例只有第 4.4 節的成員彙總數，沒有可用的逐週事件檔；採用 B 會要求補造資料，因此不採。</w:t>
      </w:r>
    </w:p>
    <w:p>
      <w:pPr>
        <w:pStyle w:val="Heading2"/>
      </w:pPr>
      <w:r>
        <w:rPr>
          <w:rFonts w:ascii="Microsoft JhengHei" w:hAnsi="Microsoft JhengHei" w:eastAsia="Microsoft JhengHei"/>
          <w:sz w:val="21"/>
        </w:rPr>
        <w:t>3.2 真實資料接觸前的關卡</w:t>
      </w:r>
    </w:p>
    <w:p>
      <w:pPr>
        <w:spacing w:after="100" w:line="271" w:lineRule="auto"/>
      </w:pPr>
      <w:r>
        <w:rPr>
          <w:rFonts w:ascii="Microsoft JhengHei" w:hAnsi="Microsoft JhengHei" w:eastAsia="Microsoft JhengHei"/>
          <w:sz w:val="21"/>
        </w:rPr>
        <w:t>角色名稱均為低維護的角色建議，不代表協會已設置職位；實際人員及權限須由協會依章程與授權指定。G0–G5 全部完成前，不得讀取、截圖、複製或匯出可識別的真實資料。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rPr>
          <w:tblHeader w:val="true"/>
          <w:cantSplit/>
        </w:trPr>
        <w:tc>
          <w:tcPr>
            <w:tcW w:type="dxa" w:w="240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17365D"/>
          </w:tcPr>
          <w:p>
            <w:pPr>
              <w:spacing w:after="0" w:line="240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關卡</w:t>
            </w:r>
          </w:p>
        </w:tc>
        <w:tc>
          <w:tcPr>
            <w:tcW w:type="dxa" w:w="240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17365D"/>
          </w:tcPr>
          <w:p>
            <w:pPr>
              <w:spacing w:after="0" w:line="240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必須完成的事項</w:t>
            </w:r>
          </w:p>
        </w:tc>
        <w:tc>
          <w:tcPr>
            <w:tcW w:type="dxa" w:w="240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17365D"/>
          </w:tcPr>
          <w:p>
            <w:pPr>
              <w:spacing w:after="0" w:line="240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可檢查的紀錄</w:t>
            </w:r>
          </w:p>
        </w:tc>
        <w:tc>
          <w:tcPr>
            <w:tcW w:type="dxa" w:w="240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17365D"/>
          </w:tcPr>
          <w:p>
            <w:pPr>
              <w:spacing w:after="0" w:line="240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未完成時</w:t>
            </w:r>
          </w:p>
        </w:tc>
      </w:tr>
      <w:tr>
        <w:trPr>
          <w:cantSplit/>
        </w:trPr>
        <w:tc>
          <w:tcPr>
            <w:tcW w:type="dxa" w:w="240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sz w:val="19"/>
              </w:rPr>
              <w:t>G0 目的與最小欄位</w:t>
            </w:r>
          </w:p>
        </w:tc>
        <w:tc>
          <w:tcPr>
            <w:tcW w:type="dxa" w:w="240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sz w:val="19"/>
              </w:rPr>
              <w:t>說清楚要回答的分析問題，只列必要欄位</w:t>
            </w:r>
          </w:p>
        </w:tc>
        <w:tc>
          <w:tcPr>
            <w:tcW w:type="dxa" w:w="240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sz w:val="19"/>
              </w:rPr>
              <w:t>目的與欄位清單</w:t>
            </w:r>
          </w:p>
        </w:tc>
        <w:tc>
          <w:tcPr>
            <w:tcW w:type="dxa" w:w="240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sz w:val="19"/>
              </w:rPr>
              <w:t>HOLD；不得先抓資料再決定用途</w:t>
            </w:r>
          </w:p>
        </w:tc>
      </w:tr>
      <w:tr>
        <w:trPr>
          <w:cantSplit/>
        </w:trPr>
        <w:tc>
          <w:tcPr>
            <w:tcW w:type="dxa" w:w="240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2F6FA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sz w:val="19"/>
              </w:rPr>
              <w:t>G1 角色指派</w:t>
            </w:r>
          </w:p>
        </w:tc>
        <w:tc>
          <w:tcPr>
            <w:tcW w:type="dxa" w:w="240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2F6FA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sz w:val="19"/>
              </w:rPr>
              <w:t>指派文件主責、資料保管、授權確認、獨立複核及發布審核角色</w:t>
            </w:r>
          </w:p>
        </w:tc>
        <w:tc>
          <w:tcPr>
            <w:tcW w:type="dxa" w:w="240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2F6FA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sz w:val="19"/>
              </w:rPr>
              <w:t>實際指派與代理紀錄</w:t>
            </w:r>
          </w:p>
        </w:tc>
        <w:tc>
          <w:tcPr>
            <w:tcW w:type="dxa" w:w="240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2F6FA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sz w:val="19"/>
              </w:rPr>
              <w:t>HOLD；本文不填入人名</w:t>
            </w:r>
          </w:p>
        </w:tc>
      </w:tr>
      <w:tr>
        <w:trPr>
          <w:cantSplit/>
        </w:trPr>
        <w:tc>
          <w:tcPr>
            <w:tcW w:type="dxa" w:w="240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sz w:val="19"/>
              </w:rPr>
              <w:t>G2 權限與處理依據</w:t>
            </w:r>
          </w:p>
        </w:tc>
        <w:tc>
          <w:tcPr>
            <w:tcW w:type="dxa" w:w="240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sz w:val="19"/>
              </w:rPr>
              <w:t>由有權者確認資料存取權限、適用的處理依據，以及是否須告知或取得同意；本文不作法律判斷</w:t>
            </w:r>
          </w:p>
        </w:tc>
        <w:tc>
          <w:tcPr>
            <w:tcW w:type="dxa" w:w="240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sz w:val="19"/>
              </w:rPr>
              <w:t>有權者的確認及依據定位</w:t>
            </w:r>
          </w:p>
        </w:tc>
        <w:tc>
          <w:tcPr>
            <w:tcW w:type="dxa" w:w="240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sz w:val="19"/>
              </w:rPr>
              <w:t>HOLD；未確認前不得讀取或匯出</w:t>
            </w:r>
          </w:p>
        </w:tc>
      </w:tr>
      <w:tr>
        <w:trPr>
          <w:cantSplit/>
        </w:trPr>
        <w:tc>
          <w:tcPr>
            <w:tcW w:type="dxa" w:w="240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2F6FA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sz w:val="19"/>
              </w:rPr>
              <w:t>G3 對象與期間凍結</w:t>
            </w:r>
          </w:p>
        </w:tc>
        <w:tc>
          <w:tcPr>
            <w:tcW w:type="dxa" w:w="240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2F6FA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sz w:val="19"/>
              </w:rPr>
              <w:t>先訂成員資格、固定比較對象、加入／退出／停權處理、期間、週界及時區</w:t>
            </w:r>
          </w:p>
        </w:tc>
        <w:tc>
          <w:tcPr>
            <w:tcW w:type="dxa" w:w="240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2F6FA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sz w:val="19"/>
              </w:rPr>
              <w:t>名冊版本與期間規則</w:t>
            </w:r>
          </w:p>
        </w:tc>
        <w:tc>
          <w:tcPr>
            <w:tcW w:type="dxa" w:w="240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2F6FA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sz w:val="19"/>
              </w:rPr>
              <w:t>HOLD；不得看到結果後改分母</w:t>
            </w:r>
          </w:p>
        </w:tc>
      </w:tr>
      <w:tr>
        <w:trPr>
          <w:cantSplit/>
        </w:trPr>
        <w:tc>
          <w:tcPr>
            <w:tcW w:type="dxa" w:w="240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sz w:val="19"/>
              </w:rPr>
              <w:t>G4 欄位與遮罩</w:t>
            </w:r>
          </w:p>
        </w:tc>
        <w:tc>
          <w:tcPr>
            <w:tcW w:type="dxa" w:w="240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sz w:val="19"/>
              </w:rPr>
              <w:t>先定白名單及去識別方式；分析只帶代碼、日期、事件類型及合格判定，不帶姓名、帳號、IP、電子郵件或回覆原文</w:t>
            </w:r>
          </w:p>
        </w:tc>
        <w:tc>
          <w:tcPr>
            <w:tcW w:type="dxa" w:w="240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sz w:val="19"/>
              </w:rPr>
              <w:t>欄位白名單及遮罩檢查</w:t>
            </w:r>
          </w:p>
        </w:tc>
        <w:tc>
          <w:tcPr>
            <w:tcW w:type="dxa" w:w="240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sz w:val="19"/>
              </w:rPr>
              <w:t>HOLD；不得把不必要資料帶出來源系統</w:t>
            </w:r>
          </w:p>
        </w:tc>
      </w:tr>
      <w:tr>
        <w:trPr>
          <w:cantSplit/>
        </w:trPr>
        <w:tc>
          <w:tcPr>
            <w:tcW w:type="dxa" w:w="240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2F6FA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sz w:val="19"/>
              </w:rPr>
              <w:t>G5 受控環境</w:t>
            </w:r>
          </w:p>
        </w:tc>
        <w:tc>
          <w:tcPr>
            <w:tcW w:type="dxa" w:w="240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2F6FA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sz w:val="19"/>
              </w:rPr>
              <w:t>指定有權限的存取位置與保管角色，確認存取和保存規則</w:t>
            </w:r>
          </w:p>
        </w:tc>
        <w:tc>
          <w:tcPr>
            <w:tcW w:type="dxa" w:w="240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2F6FA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sz w:val="19"/>
              </w:rPr>
              <w:t>存取權限、位置及保存規則</w:t>
            </w:r>
          </w:p>
        </w:tc>
        <w:tc>
          <w:tcPr>
            <w:tcW w:type="dxa" w:w="240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2F6FA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sz w:val="19"/>
              </w:rPr>
              <w:t>HOLD；不得放入公開 GitHub、公開雲端或共用資料夾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Microsoft JhengHei" w:hAnsi="Microsoft JhengHei" w:eastAsia="Microsoft JhengHei"/>
          <w:sz w:val="21"/>
        </w:rPr>
        <w:t>3.3 取得資料後的複核與發布</w:t>
      </w:r>
    </w:p>
    <w:p>
      <w:pPr>
        <w:spacing w:after="100" w:line="271" w:lineRule="auto"/>
      </w:pPr>
      <w:r>
        <w:rPr>
          <w:rFonts w:ascii="Microsoft JhengHei" w:hAnsi="Microsoft JhengHei" w:eastAsia="Microsoft JhengHei"/>
          <w:sz w:val="21"/>
        </w:rPr>
        <w:t>只有 G0–G5 通過後，才可在核准範圍內取得最小必要資料。原始可識別紀錄留在協會指定的受控來源；不得把原始日誌、帳號對照或回覆內容上傳公開或共用空間。</w:t>
      </w:r>
    </w:p>
    <w:p>
      <w:pPr>
        <w:spacing w:after="80" w:line="269" w:lineRule="auto"/>
        <w:ind w:left="312" w:hanging="312"/>
      </w:pPr>
      <w:r>
        <w:rPr>
          <w:rFonts w:ascii="Microsoft JhengHei" w:hAnsi="Microsoft JhengHei" w:eastAsia="Microsoft JhengHei"/>
          <w:sz w:val="21"/>
        </w:rPr>
        <w:t>1. 由資料保管角色按已確認的規則分類事件。報告只留成員代碼、期間、事件類型代碼和彙總數，不附貼文或回覆原文。</w:t>
      </w:r>
    </w:p>
    <w:p>
      <w:pPr>
        <w:spacing w:after="80" w:line="269" w:lineRule="auto"/>
        <w:ind w:left="312" w:hanging="312"/>
      </w:pPr>
      <w:r>
        <w:rPr>
          <w:rFonts w:ascii="Microsoft JhengHei" w:hAnsi="Microsoft JhengHei" w:eastAsia="Microsoft JhengHei"/>
          <w:sz w:val="21"/>
        </w:rPr>
        <w:t>2. 優先用來源系統的唯一事件識別碼去重。若來源沒有唯一識別碼，只有在受控環境中才可使用假名成員鍵、精確時間與受控的內容指紋作複核鍵；該鍵、密鑰及任何對照不得進入公開版。不得只用「同一人、同一主題、同一天」合併，因為那可能把不同的有效回覆誤刪。</w:t>
      </w:r>
    </w:p>
    <w:p>
      <w:pPr>
        <w:spacing w:after="80" w:line="269" w:lineRule="auto"/>
        <w:ind w:left="312" w:hanging="312"/>
      </w:pPr>
      <w:r>
        <w:rPr>
          <w:rFonts w:ascii="Microsoft JhengHei" w:hAnsi="Microsoft JhengHei" w:eastAsia="Microsoft JhengHei"/>
          <w:sz w:val="21"/>
        </w:rPr>
        <w:t>3. 由另一位已獲授權的複核角色重算全部納入與排除數、活躍週、分子、分母、比例及差異。若結果暫時不一致或原因未明，先 HOLD，查明並更正後重算；若確認來源遭竄改、數字與來源不符且無法更正、重複計數無法消除或分母遭選擇性排除，則 REJECT 該分析。</w:t>
      </w:r>
    </w:p>
    <w:p>
      <w:pPr>
        <w:spacing w:after="80" w:line="269" w:lineRule="auto"/>
        <w:ind w:left="312" w:hanging="312"/>
      </w:pPr>
      <w:r>
        <w:rPr>
          <w:rFonts w:ascii="Microsoft JhengHei" w:hAnsi="Microsoft JhengHei" w:eastAsia="Microsoft JhengHei"/>
          <w:sz w:val="21"/>
        </w:rPr>
        <w:t>4. 發布前由發布審核角色檢查遮罩和小群體辨識風險。若協會尚未確認可用的小群體揭露規則，先合併或隱去可能識別個人的數字；仍無法排除風險時不得發布。</w:t>
      </w:r>
    </w:p>
    <w:p>
      <w:pPr>
        <w:spacing w:after="80" w:line="269" w:lineRule="auto"/>
        <w:ind w:left="312" w:hanging="312"/>
      </w:pPr>
      <w:r>
        <w:rPr>
          <w:rFonts w:ascii="Microsoft JhengHei" w:hAnsi="Microsoft JhengHei" w:eastAsia="Microsoft JhengHei"/>
          <w:sz w:val="21"/>
        </w:rPr>
        <w:t>5. 如本會有權者日後確認保存期限與刪除規則，才依該規則辦理；目前未取得該依據，期限及安排為 UNKNOWN，不主張已核定或已執行。</w:t>
      </w:r>
    </w:p>
    <w:p>
      <w:pPr>
        <w:pStyle w:val="Heading2"/>
      </w:pPr>
      <w:r>
        <w:rPr>
          <w:rFonts w:ascii="Microsoft JhengHei" w:hAnsi="Microsoft JhengHei" w:eastAsia="Microsoft JhengHei"/>
          <w:sz w:val="21"/>
        </w:rPr>
        <w:t>3.4 HOLD 與 REJECT 分支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 w:val="true"/>
          <w:cantSplit/>
        </w:trPr>
        <w:tc>
          <w:tcPr>
            <w:tcW w:type="dxa" w:w="321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17365D"/>
          </w:tcPr>
          <w:p>
            <w:pPr>
              <w:spacing w:after="0" w:line="240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情況</w:t>
            </w:r>
          </w:p>
        </w:tc>
        <w:tc>
          <w:tcPr>
            <w:tcW w:type="dxa" w:w="321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17365D"/>
          </w:tcPr>
          <w:p>
            <w:pPr>
              <w:spacing w:after="0" w:line="240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判定</w:t>
            </w:r>
          </w:p>
        </w:tc>
        <w:tc>
          <w:tcPr>
            <w:tcW w:type="dxa" w:w="321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17365D"/>
          </w:tcPr>
          <w:p>
            <w:pPr>
              <w:spacing w:after="0" w:line="240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處置</w:t>
            </w:r>
          </w:p>
        </w:tc>
      </w:tr>
      <w:tr>
        <w:trPr>
          <w:cantSplit/>
        </w:trPr>
        <w:tc>
          <w:tcPr>
            <w:tcW w:type="dxa" w:w="321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sz w:val="19"/>
              </w:rPr>
              <w:t>用途、權限、處理依據或必要告知／同意未確認</w:t>
            </w:r>
          </w:p>
        </w:tc>
        <w:tc>
          <w:tcPr>
            <w:tcW w:type="dxa" w:w="321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sz w:val="19"/>
              </w:rPr>
              <w:t>HOLD</w:t>
            </w:r>
          </w:p>
        </w:tc>
        <w:tc>
          <w:tcPr>
            <w:tcW w:type="dxa" w:w="321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sz w:val="19"/>
              </w:rPr>
              <w:t>停在存取前，不讀取、不匯出</w:t>
            </w:r>
          </w:p>
        </w:tc>
      </w:tr>
      <w:tr>
        <w:trPr>
          <w:cantSplit/>
        </w:trPr>
        <w:tc>
          <w:tcPr>
            <w:tcW w:type="dxa" w:w="321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2F6FA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sz w:val="19"/>
              </w:rPr>
              <w:t>成員資格、期間或分母規則未凍結</w:t>
            </w:r>
          </w:p>
        </w:tc>
        <w:tc>
          <w:tcPr>
            <w:tcW w:type="dxa" w:w="321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2F6FA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sz w:val="19"/>
              </w:rPr>
              <w:t>HOLD</w:t>
            </w:r>
          </w:p>
        </w:tc>
        <w:tc>
          <w:tcPr>
            <w:tcW w:type="dxa" w:w="321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2F6FA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sz w:val="19"/>
              </w:rPr>
              <w:t>先補規則；不得依結果挑選成員</w:t>
            </w:r>
          </w:p>
        </w:tc>
      </w:tr>
      <w:tr>
        <w:trPr>
          <w:cantSplit/>
        </w:trPr>
        <w:tc>
          <w:tcPr>
            <w:tcW w:type="dxa" w:w="321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sz w:val="19"/>
              </w:rPr>
              <w:t>事件類型、去重或排除無法重現</w:t>
            </w:r>
          </w:p>
        </w:tc>
        <w:tc>
          <w:tcPr>
            <w:tcW w:type="dxa" w:w="321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sz w:val="19"/>
              </w:rPr>
              <w:t>HOLD</w:t>
            </w:r>
          </w:p>
        </w:tc>
        <w:tc>
          <w:tcPr>
            <w:tcW w:type="dxa" w:w="321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sz w:val="19"/>
              </w:rPr>
              <w:t>保留例外數，交第二人複核</w:t>
            </w:r>
          </w:p>
        </w:tc>
      </w:tr>
      <w:tr>
        <w:trPr>
          <w:cantSplit/>
        </w:trPr>
        <w:tc>
          <w:tcPr>
            <w:tcW w:type="dxa" w:w="321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2F6FA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sz w:val="19"/>
              </w:rPr>
              <w:t>第二人暫時無法重算或差異原因未明</w:t>
            </w:r>
          </w:p>
        </w:tc>
        <w:tc>
          <w:tcPr>
            <w:tcW w:type="dxa" w:w="321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2F6FA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sz w:val="19"/>
              </w:rPr>
              <w:t>HOLD</w:t>
            </w:r>
          </w:p>
        </w:tc>
        <w:tc>
          <w:tcPr>
            <w:tcW w:type="dxa" w:w="321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2F6FA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sz w:val="19"/>
              </w:rPr>
              <w:t>暫停發布，補來源、釐清差異並重算</w:t>
            </w:r>
          </w:p>
        </w:tc>
      </w:tr>
      <w:tr>
        <w:trPr>
          <w:cantSplit/>
        </w:trPr>
        <w:tc>
          <w:tcPr>
            <w:tcW w:type="dxa" w:w="321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sz w:val="19"/>
              </w:rPr>
              <w:t>小群體仍可能被識別或遮罩狀態未知</w:t>
            </w:r>
          </w:p>
        </w:tc>
        <w:tc>
          <w:tcPr>
            <w:tcW w:type="dxa" w:w="321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sz w:val="19"/>
              </w:rPr>
              <w:t>HOLD</w:t>
            </w:r>
          </w:p>
        </w:tc>
        <w:tc>
          <w:tcPr>
            <w:tcW w:type="dxa" w:w="321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sz w:val="19"/>
              </w:rPr>
              <w:t>合併、隱去或停止外部發布</w:t>
            </w:r>
          </w:p>
        </w:tc>
      </w:tr>
      <w:tr>
        <w:trPr>
          <w:cantSplit/>
        </w:trPr>
        <w:tc>
          <w:tcPr>
            <w:tcW w:type="dxa" w:w="321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2F6FA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sz w:val="19"/>
              </w:rPr>
              <w:t>確認有未授權讀取、匯出或公開原始資料</w:t>
            </w:r>
          </w:p>
        </w:tc>
        <w:tc>
          <w:tcPr>
            <w:tcW w:type="dxa" w:w="321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2F6FA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sz w:val="19"/>
              </w:rPr>
              <w:t>REJECT</w:t>
            </w:r>
          </w:p>
        </w:tc>
        <w:tc>
          <w:tcPr>
            <w:tcW w:type="dxa" w:w="321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2F6FA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sz w:val="19"/>
              </w:rPr>
              <w:t>停止使用該資料，交由協會有權人員處理</w:t>
            </w:r>
          </w:p>
        </w:tc>
      </w:tr>
      <w:tr>
        <w:trPr>
          <w:cantSplit/>
        </w:trPr>
        <w:tc>
          <w:tcPr>
            <w:tcW w:type="dxa" w:w="321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sz w:val="19"/>
              </w:rPr>
              <w:t>確認來源遭竄改、數字與來源不符且無法更正、重複計數無法消除或分母遭選擇性排除</w:t>
            </w:r>
          </w:p>
        </w:tc>
        <w:tc>
          <w:tcPr>
            <w:tcW w:type="dxa" w:w="321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sz w:val="19"/>
              </w:rPr>
              <w:t>REJECT</w:t>
            </w:r>
          </w:p>
        </w:tc>
        <w:tc>
          <w:tcPr>
            <w:tcW w:type="dxa" w:w="321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sz w:val="19"/>
              </w:rPr>
              <w:t>拒收該分析；保存差異定位並要求依合法原始來源重做相關計算</w:t>
            </w:r>
          </w:p>
        </w:tc>
      </w:tr>
      <w:tr>
        <w:trPr>
          <w:cantSplit/>
        </w:trPr>
        <w:tc>
          <w:tcPr>
            <w:tcW w:type="dxa" w:w="321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2F6FA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sz w:val="19"/>
              </w:rPr>
              <w:t>把登入、瀏覽、按讚或通知當成合格知識互動</w:t>
            </w:r>
          </w:p>
        </w:tc>
        <w:tc>
          <w:tcPr>
            <w:tcW w:type="dxa" w:w="321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2F6FA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sz w:val="19"/>
              </w:rPr>
              <w:t>REJECT</w:t>
            </w:r>
          </w:p>
        </w:tc>
        <w:tc>
          <w:tcPr>
            <w:tcW w:type="dxa" w:w="321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2F6FA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sz w:val="19"/>
              </w:rPr>
              <w:t>撤回錯誤分類並重算；無法回溯更正時拒收該分析</w:t>
            </w:r>
          </w:p>
        </w:tc>
      </w:tr>
      <w:tr>
        <w:trPr>
          <w:cantSplit/>
        </w:trPr>
        <w:tc>
          <w:tcPr>
            <w:tcW w:type="dxa" w:w="321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sz w:val="19"/>
              </w:rPr>
              <w:t>無支持因果推論的設計，卻宣稱訓練造成使用變化或組織績效改善</w:t>
            </w:r>
          </w:p>
        </w:tc>
        <w:tc>
          <w:tcPr>
            <w:tcW w:type="dxa" w:w="321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sz w:val="19"/>
              </w:rPr>
              <w:t>REJECT</w:t>
            </w:r>
          </w:p>
        </w:tc>
        <w:tc>
          <w:tcPr>
            <w:tcW w:type="dxa" w:w="321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sz w:val="19"/>
              </w:rPr>
              <w:t>撤回或改成有界的描述性比較；不得把相關性寫成因果</w:t>
            </w:r>
          </w:p>
        </w:tc>
      </w:tr>
      <w:tr>
        <w:trPr>
          <w:cantSplit/>
        </w:trPr>
        <w:tc>
          <w:tcPr>
            <w:tcW w:type="dxa" w:w="321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2F6FA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sz w:val="19"/>
              </w:rPr>
              <w:t>把 SAMPLE 寫成協會實績，或補造簽名、同意、核准、評分</w:t>
            </w:r>
          </w:p>
        </w:tc>
        <w:tc>
          <w:tcPr>
            <w:tcW w:type="dxa" w:w="321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2F6FA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sz w:val="19"/>
              </w:rPr>
              <w:t>REJECT</w:t>
            </w:r>
          </w:p>
        </w:tc>
        <w:tc>
          <w:tcPr>
            <w:tcW w:type="dxa" w:w="321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2F6FA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sz w:val="19"/>
              </w:rPr>
              <w:t>不得提交或對外主張；須撤回並更正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Microsoft JhengHei" w:hAnsi="Microsoft JhengHei" w:eastAsia="Microsoft JhengHei"/>
          <w:sz w:val="21"/>
        </w:rPr>
        <w:t>4 欄位字典與資料表</w:t>
      </w:r>
    </w:p>
    <w:p>
      <w:pPr>
        <w:pStyle w:val="Heading2"/>
      </w:pPr>
      <w:r>
        <w:rPr>
          <w:rFonts w:ascii="Microsoft JhengHei" w:hAnsi="Microsoft JhengHei" w:eastAsia="Microsoft JhengHei"/>
          <w:sz w:val="21"/>
        </w:rPr>
        <w:t>4.1 觀察期間、時區與週界</w:t>
      </w:r>
    </w:p>
    <w:p>
      <w:pPr>
        <w:spacing w:after="100" w:line="271" w:lineRule="auto"/>
      </w:pPr>
      <w:r>
        <w:rPr>
          <w:rFonts w:ascii="Microsoft JhengHei" w:hAnsi="Microsoft JhengHei" w:eastAsia="Microsoft JhengHei"/>
          <w:sz w:val="21"/>
        </w:rPr>
        <w:t>本案例兩期均為 13 個完整週，日期採含首尾日的台灣時間（Asia/Taipei）：</w:t>
      </w:r>
    </w:p>
    <w:p>
      <w:pPr>
        <w:pStyle w:val="ListBullet"/>
      </w:pPr>
      <w:r>
        <w:rPr>
          <w:rFonts w:ascii="Microsoft JhengHei" w:hAnsi="Microsoft JhengHei" w:eastAsia="Microsoft JhengHei"/>
          <w:sz w:val="21"/>
        </w:rPr>
        <w:t>基準期：2026-03-30 至 2026-06-28。</w:t>
      </w:r>
    </w:p>
    <w:p>
      <w:pPr>
        <w:pStyle w:val="ListBullet"/>
      </w:pPr>
      <w:r>
        <w:rPr>
          <w:rFonts w:ascii="Microsoft JhengHei" w:hAnsi="Microsoft JhengHei" w:eastAsia="Microsoft JhengHei"/>
          <w:sz w:val="21"/>
        </w:rPr>
        <w:t>示範期：2026-06-29 至 2026-09-27。</w:t>
      </w:r>
    </w:p>
    <w:p>
      <w:pPr>
        <w:spacing w:after="100" w:line="271" w:lineRule="auto"/>
      </w:pPr>
      <w:r>
        <w:rPr>
          <w:rFonts w:ascii="Microsoft JhengHei" w:hAnsi="Microsoft JhengHei" w:eastAsia="Microsoft JhengHei"/>
          <w:sz w:val="21"/>
        </w:rPr>
        <w:t>每週由星期一至星期日；兩個期間各 91 天，首日為星期一、末日為星期日。若 REAL 來源以其他時區儲存時間，必須先按事先確定的規則轉為台灣時間再分週，並記錄轉換規則；不得依結果更改週界。</w:t>
      </w:r>
    </w:p>
    <w:p>
      <w:pPr>
        <w:pStyle w:val="Heading2"/>
      </w:pPr>
      <w:r>
        <w:rPr>
          <w:rFonts w:ascii="Microsoft JhengHei" w:hAnsi="Microsoft JhengHei" w:eastAsia="Microsoft JhengHei"/>
          <w:sz w:val="21"/>
        </w:rPr>
        <w:t>4.2 合格成員與分母</w:t>
      </w:r>
    </w:p>
    <w:p>
      <w:pPr>
        <w:spacing w:after="100" w:line="271" w:lineRule="auto"/>
      </w:pPr>
      <w:r>
        <w:rPr>
          <w:rFonts w:ascii="Microsoft JhengHei" w:hAnsi="Microsoft JhengHei" w:eastAsia="Microsoft JhengHei"/>
          <w:sz w:val="21"/>
        </w:rPr>
        <w:t>本 SAMPLE 固定使用 P01–P08 八名合成成員，兩期皆保留同一名冊，分母各為 8×13＝104 人週。某成員沒有合格互動時以 0 計，不當成缺值，也不因零活動而剔除。P08 示範期的 0 活躍週與 0 次互動仍留在分母。</w:t>
      </w:r>
    </w:p>
    <w:p>
      <w:pPr>
        <w:spacing w:after="100" w:line="271" w:lineRule="auto"/>
      </w:pPr>
      <w:r>
        <w:rPr>
          <w:rFonts w:ascii="Microsoft JhengHei" w:hAnsi="Microsoft JhengHei" w:eastAsia="Microsoft JhengHei"/>
          <w:sz w:val="21"/>
        </w:rPr>
        <w:t>REAL 比較前，由有權角色按可查的名冊與平台資格先定義穩定比較對象。新增、退出或停權者另列其人數、期間與處理理由，不得在看過結果後才增刪。若不能建立可比較的固定對象，應把各期分母分開呈現、限制比較結論；若分母無法說明則 HOLD。</w:t>
      </w:r>
    </w:p>
    <w:p>
      <w:pPr>
        <w:pStyle w:val="Heading2"/>
      </w:pPr>
      <w:r>
        <w:rPr>
          <w:rFonts w:ascii="Microsoft JhengHei" w:hAnsi="Microsoft JhengHei" w:eastAsia="Microsoft JhengHei"/>
          <w:sz w:val="21"/>
        </w:rPr>
        <w:t>4.3 欄位定義、有效互動與去重</w:t>
      </w:r>
    </w:p>
    <w:p>
      <w:pPr>
        <w:pStyle w:val="ListBullet"/>
      </w:pPr>
      <w:r>
        <w:rPr>
          <w:rFonts w:ascii="Microsoft JhengHei" w:hAnsi="Microsoft JhengHei" w:eastAsia="Microsoft JhengHei"/>
          <w:b/>
          <w:sz w:val="21"/>
        </w:rPr>
        <w:t>活躍週</w:t>
      </w:r>
      <w:r>
        <w:rPr>
          <w:rFonts w:ascii="Microsoft JhengHei" w:hAnsi="Microsoft JhengHei" w:eastAsia="Microsoft JhengHei"/>
          <w:sz w:val="21"/>
        </w:rPr>
        <w:t>：一名合格成員在一個星期一至星期日內至少有一筆合格知識互動。</w:t>
      </w:r>
    </w:p>
    <w:p>
      <w:pPr>
        <w:pStyle w:val="ListBullet"/>
      </w:pPr>
      <w:r>
        <w:rPr>
          <w:rFonts w:ascii="Microsoft JhengHei" w:hAnsi="Microsoft JhengHei" w:eastAsia="Microsoft JhengHei"/>
          <w:b/>
          <w:sz w:val="21"/>
        </w:rPr>
        <w:t>活躍成員</w:t>
      </w:r>
      <w:r>
        <w:rPr>
          <w:rFonts w:ascii="Microsoft JhengHei" w:hAnsi="Microsoft JhengHei" w:eastAsia="Microsoft JhengHei"/>
          <w:sz w:val="21"/>
        </w:rPr>
        <w:t>：該 13 週期間至少有一個活躍週的合格成員。</w:t>
      </w:r>
    </w:p>
    <w:p>
      <w:pPr>
        <w:pStyle w:val="ListBullet"/>
      </w:pPr>
      <w:r>
        <w:rPr>
          <w:rFonts w:ascii="Microsoft JhengHei" w:hAnsi="Microsoft JhengHei" w:eastAsia="Microsoft JhengHei"/>
          <w:b/>
          <w:sz w:val="21"/>
        </w:rPr>
        <w:t>有效互動</w:t>
      </w:r>
      <w:r>
        <w:rPr>
          <w:rFonts w:ascii="Microsoft JhengHei" w:hAnsi="Microsoft JhengHei" w:eastAsia="Microsoft JhengHei"/>
          <w:sz w:val="21"/>
        </w:rPr>
        <w:t>：一個去重後的新主題，或對既有討論串提出有內容的回覆。實質回覆須至少提供理由、經驗、相關追問或可採用的做法；純招呼、貼圖、重複轉貼、只有連結而無說明、系統通知及自動內容不計。</w:t>
      </w:r>
    </w:p>
    <w:p>
      <w:pPr>
        <w:pStyle w:val="ListBullet"/>
      </w:pPr>
      <w:r>
        <w:rPr>
          <w:rFonts w:ascii="Microsoft JhengHei" w:hAnsi="Microsoft JhengHei" w:eastAsia="Microsoft JhengHei"/>
          <w:b/>
          <w:sz w:val="21"/>
        </w:rPr>
        <w:t>排除事件</w:t>
      </w:r>
      <w:r>
        <w:rPr>
          <w:rFonts w:ascii="Microsoft JhengHei" w:hAnsi="Microsoft JhengHei" w:eastAsia="Microsoft JhengHei"/>
          <w:sz w:val="21"/>
        </w:rPr>
        <w:t>：登入、瀏覽、按讚、通知、機器帳號、管理員測試、重複、刪除或自動產生的事件。</w:t>
      </w:r>
    </w:p>
    <w:p>
      <w:pPr>
        <w:pStyle w:val="ListBullet"/>
      </w:pPr>
      <w:r>
        <w:rPr>
          <w:rFonts w:ascii="Microsoft JhengHei" w:hAnsi="Microsoft JhengHei" w:eastAsia="Microsoft JhengHei"/>
          <w:b/>
          <w:sz w:val="21"/>
        </w:rPr>
        <w:t>去重</w:t>
      </w:r>
      <w:r>
        <w:rPr>
          <w:rFonts w:ascii="Microsoft JhengHei" w:hAnsi="Microsoft JhengHei" w:eastAsia="Microsoft JhengHei"/>
          <w:sz w:val="21"/>
        </w:rPr>
        <w:t>：同一來源事件只計一次；優先用平台唯一事件識別碼。若沒有唯一識別碼，僅在授權的受控區用假名鍵、精確時間及受控去重鍵比對。不能只按同一日或同一討論串合併不同回覆。</w:t>
      </w:r>
    </w:p>
    <w:p>
      <w:pPr>
        <w:pStyle w:val="ListBullet"/>
      </w:pPr>
      <w:r>
        <w:rPr>
          <w:rFonts w:ascii="Microsoft JhengHei" w:hAnsi="Microsoft JhengHei" w:eastAsia="Microsoft JhengHei"/>
          <w:b/>
          <w:sz w:val="21"/>
        </w:rPr>
        <w:t>邊界案例</w:t>
      </w:r>
      <w:r>
        <w:rPr>
          <w:rFonts w:ascii="Microsoft JhengHei" w:hAnsi="Microsoft JhengHei" w:eastAsia="Microsoft JhengHei"/>
          <w:sz w:val="21"/>
        </w:rPr>
        <w:t>：由兩位已獲授權的分類者按同一規則判斷；不同意時先 HOLD，記錄差異並由指定複核角色處理。回覆原文不放入報告。</w:t>
      </w:r>
    </w:p>
    <w:p>
      <w:pPr>
        <w:spacing w:after="100" w:line="271" w:lineRule="auto"/>
      </w:pPr>
      <w:r>
        <w:rPr>
          <w:rFonts w:ascii="Microsoft JhengHei" w:hAnsi="Microsoft JhengHei" w:eastAsia="Microsoft JhengHei"/>
          <w:sz w:val="21"/>
        </w:rPr>
        <w:t>本案例提供的是成員層級合成彙總值，沒有逐筆事件日誌。因此本文不能宣稱已對真實事件執行去重，也不能從彙總表推斷樣本外的重複或排除筆數；這些 REAL 數字均待取得授權來源後再計。</w:t>
      </w:r>
    </w:p>
    <w:p>
      <w:pPr>
        <w:pStyle w:val="Heading2"/>
        <w:pageBreakBefore/>
      </w:pPr>
      <w:r>
        <w:rPr>
          <w:rFonts w:ascii="Microsoft JhengHei" w:hAnsi="Microsoft JhengHei" w:eastAsia="Microsoft JhengHei"/>
          <w:sz w:val="21"/>
        </w:rPr>
        <w:t>4.4 SAMPLE／SYNTHETIC 完整彙總資料</w:t>
      </w:r>
    </w:p>
    <w:p>
      <w:pPr>
        <w:spacing w:after="100" w:line="271" w:lineRule="auto"/>
      </w:pPr>
      <w:r>
        <w:rPr>
          <w:rFonts w:ascii="Microsoft JhengHei" w:hAnsi="Microsoft JhengHei" w:eastAsia="Microsoft JhengHei"/>
          <w:sz w:val="21"/>
        </w:rPr>
        <w:t>下表每一列依序為：基準期活躍週、基準期有效互動、示範期活躍週、示範期有效互動。表中 P01–P08 分別是 SYN-0109-P01–SYN-0109-P08 的簡寫；全部代碼和數字均屬 SYN-0109-CASE-01 合成資料，不代表協會會員或使用紀錄。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rPr>
          <w:tblHeader w:val="true"/>
          <w:cantSplit/>
        </w:trPr>
        <w:tc>
          <w:tcPr>
            <w:tcW w:type="dxa" w:w="192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17365D"/>
          </w:tcPr>
          <w:p>
            <w:pPr>
              <w:spacing w:after="0" w:line="240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代碼</w:t>
            </w:r>
          </w:p>
        </w:tc>
        <w:tc>
          <w:tcPr>
            <w:tcW w:type="dxa" w:w="192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17365D"/>
          </w:tcPr>
          <w:p>
            <w:pPr>
              <w:spacing w:after="0" w:line="240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基準活躍週</w:t>
            </w:r>
          </w:p>
        </w:tc>
        <w:tc>
          <w:tcPr>
            <w:tcW w:type="dxa" w:w="192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17365D"/>
          </w:tcPr>
          <w:p>
            <w:pPr>
              <w:spacing w:after="0" w:line="240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基準有效互動</w:t>
            </w:r>
          </w:p>
        </w:tc>
        <w:tc>
          <w:tcPr>
            <w:tcW w:type="dxa" w:w="192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17365D"/>
          </w:tcPr>
          <w:p>
            <w:pPr>
              <w:spacing w:after="0" w:line="240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示範活躍週</w:t>
            </w:r>
          </w:p>
        </w:tc>
        <w:tc>
          <w:tcPr>
            <w:tcW w:type="dxa" w:w="192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17365D"/>
          </w:tcPr>
          <w:p>
            <w:pPr>
              <w:spacing w:after="0" w:line="240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示範有效互動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sz w:val="19"/>
              </w:rPr>
              <w:t>P01</w:t>
            </w:r>
          </w:p>
        </w:tc>
        <w:tc>
          <w:tcPr>
            <w:tcW w:type="dxa" w:w="192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sz w:val="19"/>
              </w:rPr>
              <w:t>2</w:t>
            </w:r>
          </w:p>
        </w:tc>
        <w:tc>
          <w:tcPr>
            <w:tcW w:type="dxa" w:w="192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sz w:val="19"/>
              </w:rPr>
              <w:t>3</w:t>
            </w:r>
          </w:p>
        </w:tc>
        <w:tc>
          <w:tcPr>
            <w:tcW w:type="dxa" w:w="192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sz w:val="19"/>
              </w:rPr>
              <w:t>8</w:t>
            </w:r>
          </w:p>
        </w:tc>
        <w:tc>
          <w:tcPr>
            <w:tcW w:type="dxa" w:w="192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sz w:val="19"/>
              </w:rPr>
              <w:t>12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2F6FA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sz w:val="19"/>
              </w:rPr>
              <w:t>P02</w:t>
            </w:r>
          </w:p>
        </w:tc>
        <w:tc>
          <w:tcPr>
            <w:tcW w:type="dxa" w:w="192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2F6FA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sz w:val="19"/>
              </w:rPr>
              <w:t>0</w:t>
            </w:r>
          </w:p>
        </w:tc>
        <w:tc>
          <w:tcPr>
            <w:tcW w:type="dxa" w:w="192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2F6FA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sz w:val="19"/>
              </w:rPr>
              <w:t>0</w:t>
            </w:r>
          </w:p>
        </w:tc>
        <w:tc>
          <w:tcPr>
            <w:tcW w:type="dxa" w:w="192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2F6FA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sz w:val="19"/>
              </w:rPr>
              <w:t>7</w:t>
            </w:r>
          </w:p>
        </w:tc>
        <w:tc>
          <w:tcPr>
            <w:tcW w:type="dxa" w:w="192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2F6FA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sz w:val="19"/>
              </w:rPr>
              <w:t>10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sz w:val="19"/>
              </w:rPr>
              <w:t>P03</w:t>
            </w:r>
          </w:p>
        </w:tc>
        <w:tc>
          <w:tcPr>
            <w:tcW w:type="dxa" w:w="192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sz w:val="19"/>
              </w:rPr>
              <w:t>5</w:t>
            </w:r>
          </w:p>
        </w:tc>
        <w:tc>
          <w:tcPr>
            <w:tcW w:type="dxa" w:w="192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sz w:val="19"/>
              </w:rPr>
              <w:t>7</w:t>
            </w:r>
          </w:p>
        </w:tc>
        <w:tc>
          <w:tcPr>
            <w:tcW w:type="dxa" w:w="192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sz w:val="19"/>
              </w:rPr>
              <w:t>9</w:t>
            </w:r>
          </w:p>
        </w:tc>
        <w:tc>
          <w:tcPr>
            <w:tcW w:type="dxa" w:w="192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sz w:val="19"/>
              </w:rPr>
              <w:t>15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2F6FA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sz w:val="19"/>
              </w:rPr>
              <w:t>P04</w:t>
            </w:r>
          </w:p>
        </w:tc>
        <w:tc>
          <w:tcPr>
            <w:tcW w:type="dxa" w:w="192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2F6FA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sz w:val="19"/>
              </w:rPr>
              <w:t>1</w:t>
            </w:r>
          </w:p>
        </w:tc>
        <w:tc>
          <w:tcPr>
            <w:tcW w:type="dxa" w:w="192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2F6FA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sz w:val="19"/>
              </w:rPr>
              <w:t>1</w:t>
            </w:r>
          </w:p>
        </w:tc>
        <w:tc>
          <w:tcPr>
            <w:tcW w:type="dxa" w:w="192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2F6FA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sz w:val="19"/>
              </w:rPr>
              <w:t>6</w:t>
            </w:r>
          </w:p>
        </w:tc>
        <w:tc>
          <w:tcPr>
            <w:tcW w:type="dxa" w:w="192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2F6FA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sz w:val="19"/>
              </w:rPr>
              <w:t>8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sz w:val="19"/>
              </w:rPr>
              <w:t>P05</w:t>
            </w:r>
          </w:p>
        </w:tc>
        <w:tc>
          <w:tcPr>
            <w:tcW w:type="dxa" w:w="192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sz w:val="19"/>
              </w:rPr>
              <w:t>0</w:t>
            </w:r>
          </w:p>
        </w:tc>
        <w:tc>
          <w:tcPr>
            <w:tcW w:type="dxa" w:w="192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sz w:val="19"/>
              </w:rPr>
              <w:t>0</w:t>
            </w:r>
          </w:p>
        </w:tc>
        <w:tc>
          <w:tcPr>
            <w:tcW w:type="dxa" w:w="192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sz w:val="19"/>
              </w:rPr>
              <w:t>5</w:t>
            </w:r>
          </w:p>
        </w:tc>
        <w:tc>
          <w:tcPr>
            <w:tcW w:type="dxa" w:w="192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sz w:val="19"/>
              </w:rPr>
              <w:t>6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2F6FA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sz w:val="19"/>
              </w:rPr>
              <w:t>P06</w:t>
            </w:r>
          </w:p>
        </w:tc>
        <w:tc>
          <w:tcPr>
            <w:tcW w:type="dxa" w:w="192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2F6FA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sz w:val="19"/>
              </w:rPr>
              <w:t>4</w:t>
            </w:r>
          </w:p>
        </w:tc>
        <w:tc>
          <w:tcPr>
            <w:tcW w:type="dxa" w:w="192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2F6FA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sz w:val="19"/>
              </w:rPr>
              <w:t>5</w:t>
            </w:r>
          </w:p>
        </w:tc>
        <w:tc>
          <w:tcPr>
            <w:tcW w:type="dxa" w:w="192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2F6FA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sz w:val="19"/>
              </w:rPr>
              <w:t>8</w:t>
            </w:r>
          </w:p>
        </w:tc>
        <w:tc>
          <w:tcPr>
            <w:tcW w:type="dxa" w:w="192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2F6FA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sz w:val="19"/>
              </w:rPr>
              <w:t>11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sz w:val="19"/>
              </w:rPr>
              <w:t>P07</w:t>
            </w:r>
          </w:p>
        </w:tc>
        <w:tc>
          <w:tcPr>
            <w:tcW w:type="dxa" w:w="192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sz w:val="19"/>
              </w:rPr>
              <w:t>0</w:t>
            </w:r>
          </w:p>
        </w:tc>
        <w:tc>
          <w:tcPr>
            <w:tcW w:type="dxa" w:w="192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sz w:val="19"/>
              </w:rPr>
              <w:t>0</w:t>
            </w:r>
          </w:p>
        </w:tc>
        <w:tc>
          <w:tcPr>
            <w:tcW w:type="dxa" w:w="192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sz w:val="19"/>
              </w:rPr>
              <w:t>4</w:t>
            </w:r>
          </w:p>
        </w:tc>
        <w:tc>
          <w:tcPr>
            <w:tcW w:type="dxa" w:w="192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sz w:val="19"/>
              </w:rPr>
              <w:t>5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2F6FA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sz w:val="19"/>
              </w:rPr>
              <w:t>P08</w:t>
            </w:r>
          </w:p>
        </w:tc>
        <w:tc>
          <w:tcPr>
            <w:tcW w:type="dxa" w:w="192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2F6FA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sz w:val="19"/>
              </w:rPr>
              <w:t>1</w:t>
            </w:r>
          </w:p>
        </w:tc>
        <w:tc>
          <w:tcPr>
            <w:tcW w:type="dxa" w:w="192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2F6FA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sz w:val="19"/>
              </w:rPr>
              <w:t>2</w:t>
            </w:r>
          </w:p>
        </w:tc>
        <w:tc>
          <w:tcPr>
            <w:tcW w:type="dxa" w:w="192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2F6FA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sz w:val="19"/>
              </w:rPr>
              <w:t>0</w:t>
            </w:r>
          </w:p>
        </w:tc>
        <w:tc>
          <w:tcPr>
            <w:tcW w:type="dxa" w:w="192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2F6FA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sz w:val="19"/>
              </w:rPr>
              <w:t>合計</w:t>
            </w:r>
          </w:p>
        </w:tc>
        <w:tc>
          <w:tcPr>
            <w:tcW w:type="dxa" w:w="192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sz w:val="19"/>
              </w:rPr>
              <w:t>13</w:t>
            </w:r>
          </w:p>
        </w:tc>
        <w:tc>
          <w:tcPr>
            <w:tcW w:type="dxa" w:w="192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sz w:val="19"/>
              </w:rPr>
              <w:t>18</w:t>
            </w:r>
          </w:p>
        </w:tc>
        <w:tc>
          <w:tcPr>
            <w:tcW w:type="dxa" w:w="192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sz w:val="19"/>
              </w:rPr>
              <w:t>47</w:t>
            </w:r>
          </w:p>
        </w:tc>
        <w:tc>
          <w:tcPr>
            <w:tcW w:type="dxa" w:w="192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sz w:val="19"/>
              </w:rPr>
              <w:t>67</w:t>
            </w:r>
          </w:p>
        </w:tc>
      </w:tr>
    </w:tbl>
    <w:p>
      <w:pPr>
        <w:spacing w:after="20"/>
      </w:pPr>
    </w:p>
    <w:p>
      <w:pPr>
        <w:spacing w:after="100" w:line="271" w:lineRule="auto"/>
      </w:pPr>
      <w:r>
        <w:rPr>
          <w:rFonts w:ascii="Microsoft JhengHei" w:hAnsi="Microsoft JhengHei" w:eastAsia="Microsoft JhengHei"/>
          <w:sz w:val="21"/>
        </w:rPr>
        <w:t>表中活躍週數均在 0 至 13 之間；互動數與活躍成員分布可在第 5 節重算。合計列只彙總此固定合成樣本。</w:t>
      </w:r>
    </w:p>
    <w:p>
      <w:pPr>
        <w:pStyle w:val="Heading1"/>
      </w:pPr>
      <w:r>
        <w:rPr>
          <w:rFonts w:ascii="Microsoft JhengHei" w:hAnsi="Microsoft JhengHei" w:eastAsia="Microsoft JhengHei"/>
          <w:sz w:val="21"/>
        </w:rPr>
        <w:t>第 5 節　重算表（公式、分母、結果與精度）</w:t>
      </w:r>
    </w:p>
    <w:p>
      <w:pPr>
        <w:pStyle w:val="Heading2"/>
      </w:pPr>
      <w:r>
        <w:rPr>
          <w:rFonts w:ascii="Microsoft JhengHei" w:hAnsi="Microsoft JhengHei" w:eastAsia="Microsoft JhengHei"/>
          <w:sz w:val="21"/>
        </w:rPr>
        <w:t>5.1 核心指標重算表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377"/>
        <w:gridCol w:w="1377"/>
        <w:gridCol w:w="1377"/>
        <w:gridCol w:w="1377"/>
        <w:gridCol w:w="1377"/>
        <w:gridCol w:w="1377"/>
        <w:gridCol w:w="1377"/>
      </w:tblGrid>
      <w:tr>
        <w:trPr>
          <w:tblHeader w:val="true"/>
          <w:cantSplit/>
        </w:trPr>
        <w:tc>
          <w:tcPr>
            <w:tcW w:type="dxa" w:w="137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17365D"/>
          </w:tcPr>
          <w:p>
            <w:pPr>
              <w:spacing w:after="0" w:line="240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指標</w:t>
            </w:r>
          </w:p>
        </w:tc>
        <w:tc>
          <w:tcPr>
            <w:tcW w:type="dxa" w:w="137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17365D"/>
          </w:tcPr>
          <w:p>
            <w:pPr>
              <w:spacing w:after="0" w:line="240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公式</w:t>
            </w:r>
          </w:p>
        </w:tc>
        <w:tc>
          <w:tcPr>
            <w:tcW w:type="dxa" w:w="137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17365D"/>
          </w:tcPr>
          <w:p>
            <w:pPr>
              <w:spacing w:after="0" w:line="240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基準期分子/分母</w:t>
            </w:r>
          </w:p>
        </w:tc>
        <w:tc>
          <w:tcPr>
            <w:tcW w:type="dxa" w:w="137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17365D"/>
          </w:tcPr>
          <w:p>
            <w:pPr>
              <w:spacing w:after="0" w:line="240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示範期分子/分母</w:t>
            </w:r>
          </w:p>
        </w:tc>
        <w:tc>
          <w:tcPr>
            <w:tcW w:type="dxa" w:w="137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17365D"/>
          </w:tcPr>
          <w:p>
            <w:pPr>
              <w:spacing w:after="0" w:line="240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基準期結果</w:t>
            </w:r>
          </w:p>
        </w:tc>
        <w:tc>
          <w:tcPr>
            <w:tcW w:type="dxa" w:w="137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17365D"/>
          </w:tcPr>
          <w:p>
            <w:pPr>
              <w:spacing w:after="0" w:line="240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示範期結果</w:t>
            </w:r>
          </w:p>
        </w:tc>
        <w:tc>
          <w:tcPr>
            <w:tcW w:type="dxa" w:w="137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17365D"/>
          </w:tcPr>
          <w:p>
            <w:pPr>
              <w:spacing w:after="0" w:line="240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變化</w:t>
            </w:r>
          </w:p>
        </w:tc>
      </w:tr>
      <w:tr>
        <w:trPr>
          <w:cantSplit/>
        </w:trPr>
        <w:tc>
          <w:tcPr>
            <w:tcW w:type="dxa" w:w="137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sz w:val="19"/>
              </w:rPr>
              <w:t>活躍成員率</w:t>
            </w:r>
          </w:p>
        </w:tc>
        <w:tc>
          <w:tcPr>
            <w:tcW w:type="dxa" w:w="137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sz w:val="19"/>
              </w:rPr>
              <w:t>活躍成員 ÷ 固定合成人數</w:t>
            </w:r>
          </w:p>
        </w:tc>
        <w:tc>
          <w:tcPr>
            <w:tcW w:type="dxa" w:w="137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sz w:val="19"/>
              </w:rPr>
              <w:t>5 / 8</w:t>
            </w:r>
          </w:p>
        </w:tc>
        <w:tc>
          <w:tcPr>
            <w:tcW w:type="dxa" w:w="137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sz w:val="19"/>
              </w:rPr>
              <w:t>7 / 8</w:t>
            </w:r>
          </w:p>
        </w:tc>
        <w:tc>
          <w:tcPr>
            <w:tcW w:type="dxa" w:w="137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sz w:val="19"/>
              </w:rPr>
              <w:t>62.5%</w:t>
            </w:r>
          </w:p>
        </w:tc>
        <w:tc>
          <w:tcPr>
            <w:tcW w:type="dxa" w:w="137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sz w:val="19"/>
              </w:rPr>
              <w:t>87.5%</w:t>
            </w:r>
          </w:p>
        </w:tc>
        <w:tc>
          <w:tcPr>
            <w:tcW w:type="dxa" w:w="137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sz w:val="19"/>
              </w:rPr>
              <w:t>+25.0 百分點</w:t>
            </w:r>
          </w:p>
        </w:tc>
      </w:tr>
      <w:tr>
        <w:trPr>
          <w:cantSplit/>
        </w:trPr>
        <w:tc>
          <w:tcPr>
            <w:tcW w:type="dxa" w:w="137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2F6FA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sz w:val="19"/>
              </w:rPr>
              <w:t>活躍成員週率</w:t>
            </w:r>
          </w:p>
        </w:tc>
        <w:tc>
          <w:tcPr>
            <w:tcW w:type="dxa" w:w="137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2F6FA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sz w:val="19"/>
              </w:rPr>
              <w:t>活躍人週 ÷ 人週分母（8人×13週）</w:t>
            </w:r>
          </w:p>
        </w:tc>
        <w:tc>
          <w:tcPr>
            <w:tcW w:type="dxa" w:w="137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2F6FA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sz w:val="19"/>
              </w:rPr>
              <w:t>13 / 104</w:t>
            </w:r>
          </w:p>
        </w:tc>
        <w:tc>
          <w:tcPr>
            <w:tcW w:type="dxa" w:w="137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2F6FA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sz w:val="19"/>
              </w:rPr>
              <w:t>47 / 104</w:t>
            </w:r>
          </w:p>
        </w:tc>
        <w:tc>
          <w:tcPr>
            <w:tcW w:type="dxa" w:w="137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2F6FA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sz w:val="19"/>
              </w:rPr>
              <w:t>12.5%</w:t>
            </w:r>
          </w:p>
        </w:tc>
        <w:tc>
          <w:tcPr>
            <w:tcW w:type="dxa" w:w="137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2F6FA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sz w:val="19"/>
              </w:rPr>
              <w:t>45.2%</w:t>
            </w:r>
          </w:p>
        </w:tc>
        <w:tc>
          <w:tcPr>
            <w:tcW w:type="dxa" w:w="137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2F6FA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sz w:val="19"/>
              </w:rPr>
              <w:t>+32.7 百分點（活躍週差 = 47 − 13 = 34）</w:t>
            </w:r>
          </w:p>
        </w:tc>
      </w:tr>
      <w:tr>
        <w:trPr>
          <w:cantSplit/>
        </w:trPr>
        <w:tc>
          <w:tcPr>
            <w:tcW w:type="dxa" w:w="137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sz w:val="19"/>
              </w:rPr>
              <w:t>示範持續使用率（≥6 活躍週 / 13 週）</w:t>
            </w:r>
          </w:p>
        </w:tc>
        <w:tc>
          <w:tcPr>
            <w:tcW w:type="dxa" w:w="137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sz w:val="19"/>
              </w:rPr>
              <w:t>活躍週 ≥6 之人數 ÷ 8</w:t>
            </w:r>
          </w:p>
        </w:tc>
        <w:tc>
          <w:tcPr>
            <w:tcW w:type="dxa" w:w="137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sz w:val="19"/>
              </w:rPr>
              <w:t>0 / 8</w:t>
            </w:r>
          </w:p>
        </w:tc>
        <w:tc>
          <w:tcPr>
            <w:tcW w:type="dxa" w:w="137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sz w:val="19"/>
              </w:rPr>
              <w:t>5 / 8</w:t>
            </w:r>
          </w:p>
        </w:tc>
        <w:tc>
          <w:tcPr>
            <w:tcW w:type="dxa" w:w="137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sz w:val="19"/>
              </w:rPr>
              <w:t>0.0%</w:t>
            </w:r>
          </w:p>
        </w:tc>
        <w:tc>
          <w:tcPr>
            <w:tcW w:type="dxa" w:w="137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sz w:val="19"/>
              </w:rPr>
              <w:t>62.5%</w:t>
            </w:r>
          </w:p>
        </w:tc>
        <w:tc>
          <w:tcPr>
            <w:tcW w:type="dxa" w:w="137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sz w:val="19"/>
              </w:rPr>
              <w:t>+62.5 百分點</w:t>
            </w:r>
          </w:p>
        </w:tc>
      </w:tr>
      <w:tr>
        <w:trPr>
          <w:cantSplit/>
        </w:trPr>
        <w:tc>
          <w:tcPr>
            <w:tcW w:type="dxa" w:w="137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2F6FA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sz w:val="19"/>
              </w:rPr>
              <w:t>每活躍成員互動</w:t>
            </w:r>
          </w:p>
        </w:tc>
        <w:tc>
          <w:tcPr>
            <w:tcW w:type="dxa" w:w="137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2F6FA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sz w:val="19"/>
              </w:rPr>
              <w:t>有效互動 ÷ 活躍成員</w:t>
            </w:r>
          </w:p>
        </w:tc>
        <w:tc>
          <w:tcPr>
            <w:tcW w:type="dxa" w:w="137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2F6FA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sz w:val="19"/>
              </w:rPr>
              <w:t>18 / 5</w:t>
            </w:r>
          </w:p>
        </w:tc>
        <w:tc>
          <w:tcPr>
            <w:tcW w:type="dxa" w:w="137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2F6FA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sz w:val="19"/>
              </w:rPr>
              <w:t>67 / 7</w:t>
            </w:r>
          </w:p>
        </w:tc>
        <w:tc>
          <w:tcPr>
            <w:tcW w:type="dxa" w:w="137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2F6FA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sz w:val="19"/>
              </w:rPr>
              <w:t>3.60</w:t>
            </w:r>
          </w:p>
        </w:tc>
        <w:tc>
          <w:tcPr>
            <w:tcW w:type="dxa" w:w="137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2F6FA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sz w:val="19"/>
              </w:rPr>
              <w:t>9.57</w:t>
            </w:r>
          </w:p>
        </w:tc>
        <w:tc>
          <w:tcPr>
            <w:tcW w:type="dxa" w:w="137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2F6FA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sz w:val="19"/>
              </w:rPr>
              <w:t>+5.97</w:t>
            </w:r>
          </w:p>
        </w:tc>
      </w:tr>
      <w:tr>
        <w:trPr>
          <w:cantSplit/>
        </w:trPr>
        <w:tc>
          <w:tcPr>
            <w:tcW w:type="dxa" w:w="137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sz w:val="19"/>
              </w:rPr>
              <w:t>每活躍人週互動</w:t>
            </w:r>
          </w:p>
        </w:tc>
        <w:tc>
          <w:tcPr>
            <w:tcW w:type="dxa" w:w="137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sz w:val="19"/>
              </w:rPr>
              <w:t>有效互動 ÷ 活躍人週</w:t>
            </w:r>
          </w:p>
        </w:tc>
        <w:tc>
          <w:tcPr>
            <w:tcW w:type="dxa" w:w="137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sz w:val="19"/>
              </w:rPr>
              <w:t>18 / 13</w:t>
            </w:r>
          </w:p>
        </w:tc>
        <w:tc>
          <w:tcPr>
            <w:tcW w:type="dxa" w:w="137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sz w:val="19"/>
              </w:rPr>
              <w:t>67 / 47</w:t>
            </w:r>
          </w:p>
        </w:tc>
        <w:tc>
          <w:tcPr>
            <w:tcW w:type="dxa" w:w="137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sz w:val="19"/>
              </w:rPr>
              <w:t>1.38</w:t>
            </w:r>
          </w:p>
        </w:tc>
        <w:tc>
          <w:tcPr>
            <w:tcW w:type="dxa" w:w="137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sz w:val="19"/>
              </w:rPr>
              <w:t>1.43</w:t>
            </w:r>
          </w:p>
        </w:tc>
        <w:tc>
          <w:tcPr>
            <w:tcW w:type="dxa" w:w="137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sz w:val="19"/>
              </w:rPr>
              <w:t>+0.04</w:t>
            </w:r>
          </w:p>
        </w:tc>
      </w:tr>
      <w:tr>
        <w:trPr>
          <w:cantSplit/>
        </w:trPr>
        <w:tc>
          <w:tcPr>
            <w:tcW w:type="dxa" w:w="137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2F6FA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sz w:val="19"/>
              </w:rPr>
              <w:t>互動總量</w:t>
            </w:r>
          </w:p>
        </w:tc>
        <w:tc>
          <w:tcPr>
            <w:tcW w:type="dxa" w:w="137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2F6FA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sz w:val="19"/>
              </w:rPr>
              <w:t>Σ有效互動</w:t>
            </w:r>
          </w:p>
        </w:tc>
        <w:tc>
          <w:tcPr>
            <w:tcW w:type="dxa" w:w="137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2F6FA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sz w:val="19"/>
              </w:rPr>
              <w:t>18</w:t>
            </w:r>
          </w:p>
        </w:tc>
        <w:tc>
          <w:tcPr>
            <w:tcW w:type="dxa" w:w="137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2F6FA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sz w:val="19"/>
              </w:rPr>
              <w:t>67</w:t>
            </w:r>
          </w:p>
        </w:tc>
        <w:tc>
          <w:tcPr>
            <w:tcW w:type="dxa" w:w="137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2F6FA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sz w:val="19"/>
              </w:rPr>
              <w:t>—</w:t>
            </w:r>
          </w:p>
        </w:tc>
        <w:tc>
          <w:tcPr>
            <w:tcW w:type="dxa" w:w="137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2F6FA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sz w:val="19"/>
              </w:rPr>
              <w:t>—</w:t>
            </w:r>
          </w:p>
        </w:tc>
        <w:tc>
          <w:tcPr>
            <w:tcW w:type="dxa" w:w="137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2F6FA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sz w:val="19"/>
              </w:rPr>
              <w:t>+49（67 ÷ 18 ≈ 3.72 倍）</w:t>
            </w:r>
          </w:p>
        </w:tc>
      </w:tr>
      <w:tr>
        <w:trPr>
          <w:cantSplit/>
        </w:trPr>
        <w:tc>
          <w:tcPr>
            <w:tcW w:type="dxa" w:w="137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sz w:val="19"/>
              </w:rPr>
              <w:t>示範期活躍週中位數</w:t>
            </w:r>
          </w:p>
        </w:tc>
        <w:tc>
          <w:tcPr>
            <w:tcW w:type="dxa" w:w="137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sz w:val="19"/>
              </w:rPr>
              <w:t>活躍成員活躍週之中位數</w:t>
            </w:r>
          </w:p>
        </w:tc>
        <w:tc>
          <w:tcPr>
            <w:tcW w:type="dxa" w:w="137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sz w:val="19"/>
              </w:rPr>
              <w:t>—</w:t>
            </w:r>
          </w:p>
        </w:tc>
        <w:tc>
          <w:tcPr>
            <w:tcW w:type="dxa" w:w="137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sz w:val="19"/>
              </w:rPr>
              <w:t>7</w:t>
            </w:r>
          </w:p>
        </w:tc>
        <w:tc>
          <w:tcPr>
            <w:tcW w:type="dxa" w:w="137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sz w:val="19"/>
              </w:rPr>
              <w:t>—</w:t>
            </w:r>
          </w:p>
        </w:tc>
        <w:tc>
          <w:tcPr>
            <w:tcW w:type="dxa" w:w="137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sz w:val="19"/>
              </w:rPr>
              <w:t>—</w:t>
            </w:r>
          </w:p>
        </w:tc>
        <w:tc>
          <w:tcPr>
            <w:tcW w:type="dxa" w:w="137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sz w:val="19"/>
              </w:rPr>
              <w:t>—</w:t>
            </w:r>
          </w:p>
        </w:tc>
      </w:tr>
    </w:tbl>
    <w:p>
      <w:pPr>
        <w:spacing w:after="20"/>
      </w:pPr>
    </w:p>
    <w:p>
      <w:pPr>
        <w:spacing w:after="100" w:line="271" w:lineRule="auto"/>
      </w:pPr>
      <w:r>
        <w:rPr>
          <w:rFonts w:ascii="Microsoft JhengHei" w:hAnsi="Microsoft JhengHei" w:eastAsia="Microsoft JhengHei"/>
          <w:sz w:val="21"/>
        </w:rPr>
        <w:t>精度約定：百分率取一位小數（百分點同）；每人比值取兩位小數；中位數取整數（示範期 7 名活躍成員之活躍週為 9、8、8、7、6、5、4，中位數 = 7）。人週分母兩期均為 8 × 13 = 104（固定合成 8 人、期間均 13 週）。</w:t>
      </w:r>
    </w:p>
    <w:p>
      <w:pPr>
        <w:pStyle w:val="Heading2"/>
      </w:pPr>
      <w:r>
        <w:rPr>
          <w:rFonts w:ascii="Microsoft JhengHei" w:hAnsi="Microsoft JhengHei" w:eastAsia="Microsoft JhengHei"/>
          <w:sz w:val="21"/>
        </w:rPr>
        <w:t>5.2 使用者層級活躍週／互動重算（P01–P08）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377"/>
        <w:gridCol w:w="1377"/>
        <w:gridCol w:w="1377"/>
        <w:gridCol w:w="1377"/>
        <w:gridCol w:w="1377"/>
        <w:gridCol w:w="1377"/>
        <w:gridCol w:w="1377"/>
      </w:tblGrid>
      <w:tr>
        <w:trPr>
          <w:tblHeader w:val="true"/>
          <w:cantSplit/>
        </w:trPr>
        <w:tc>
          <w:tcPr>
            <w:tcW w:type="dxa" w:w="137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17365D"/>
          </w:tcPr>
          <w:p>
            <w:pPr>
              <w:spacing w:after="0" w:line="240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使用者</w:t>
            </w:r>
          </w:p>
        </w:tc>
        <w:tc>
          <w:tcPr>
            <w:tcW w:type="dxa" w:w="137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17365D"/>
          </w:tcPr>
          <w:p>
            <w:pPr>
              <w:spacing w:after="0" w:line="240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基準活躍週</w:t>
            </w:r>
          </w:p>
        </w:tc>
        <w:tc>
          <w:tcPr>
            <w:tcW w:type="dxa" w:w="137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17365D"/>
          </w:tcPr>
          <w:p>
            <w:pPr>
              <w:spacing w:after="0" w:line="240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基準互動</w:t>
            </w:r>
          </w:p>
        </w:tc>
        <w:tc>
          <w:tcPr>
            <w:tcW w:type="dxa" w:w="137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17365D"/>
          </w:tcPr>
          <w:p>
            <w:pPr>
              <w:spacing w:after="0" w:line="240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示範活躍週</w:t>
            </w:r>
          </w:p>
        </w:tc>
        <w:tc>
          <w:tcPr>
            <w:tcW w:type="dxa" w:w="137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17365D"/>
          </w:tcPr>
          <w:p>
            <w:pPr>
              <w:spacing w:after="0" w:line="240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示範互動</w:t>
            </w:r>
          </w:p>
        </w:tc>
        <w:tc>
          <w:tcPr>
            <w:tcW w:type="dxa" w:w="137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17365D"/>
          </w:tcPr>
          <w:p>
            <w:pPr>
              <w:spacing w:after="0" w:line="240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活躍週變化</w:t>
            </w:r>
          </w:p>
        </w:tc>
        <w:tc>
          <w:tcPr>
            <w:tcW w:type="dxa" w:w="137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17365D"/>
          </w:tcPr>
          <w:p>
            <w:pPr>
              <w:spacing w:after="0" w:line="240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互動變化</w:t>
            </w:r>
          </w:p>
        </w:tc>
      </w:tr>
      <w:tr>
        <w:trPr>
          <w:cantSplit/>
        </w:trPr>
        <w:tc>
          <w:tcPr>
            <w:tcW w:type="dxa" w:w="137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sz w:val="19"/>
              </w:rPr>
              <w:t>P01</w:t>
            </w:r>
          </w:p>
        </w:tc>
        <w:tc>
          <w:tcPr>
            <w:tcW w:type="dxa" w:w="137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sz w:val="19"/>
              </w:rPr>
              <w:t>2</w:t>
            </w:r>
          </w:p>
        </w:tc>
        <w:tc>
          <w:tcPr>
            <w:tcW w:type="dxa" w:w="137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sz w:val="19"/>
              </w:rPr>
              <w:t>3</w:t>
            </w:r>
          </w:p>
        </w:tc>
        <w:tc>
          <w:tcPr>
            <w:tcW w:type="dxa" w:w="137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sz w:val="19"/>
              </w:rPr>
              <w:t>8</w:t>
            </w:r>
          </w:p>
        </w:tc>
        <w:tc>
          <w:tcPr>
            <w:tcW w:type="dxa" w:w="137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sz w:val="19"/>
              </w:rPr>
              <w:t>12</w:t>
            </w:r>
          </w:p>
        </w:tc>
        <w:tc>
          <w:tcPr>
            <w:tcW w:type="dxa" w:w="137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sz w:val="19"/>
              </w:rPr>
              <w:t>+6</w:t>
            </w:r>
          </w:p>
        </w:tc>
        <w:tc>
          <w:tcPr>
            <w:tcW w:type="dxa" w:w="137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sz w:val="19"/>
              </w:rPr>
              <w:t>+9</w:t>
            </w:r>
          </w:p>
        </w:tc>
      </w:tr>
      <w:tr>
        <w:trPr>
          <w:cantSplit/>
        </w:trPr>
        <w:tc>
          <w:tcPr>
            <w:tcW w:type="dxa" w:w="137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2F6FA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sz w:val="19"/>
              </w:rPr>
              <w:t>P02</w:t>
            </w:r>
          </w:p>
        </w:tc>
        <w:tc>
          <w:tcPr>
            <w:tcW w:type="dxa" w:w="137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2F6FA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sz w:val="19"/>
              </w:rPr>
              <w:t>0</w:t>
            </w:r>
          </w:p>
        </w:tc>
        <w:tc>
          <w:tcPr>
            <w:tcW w:type="dxa" w:w="137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2F6FA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sz w:val="19"/>
              </w:rPr>
              <w:t>0</w:t>
            </w:r>
          </w:p>
        </w:tc>
        <w:tc>
          <w:tcPr>
            <w:tcW w:type="dxa" w:w="137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2F6FA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sz w:val="19"/>
              </w:rPr>
              <w:t>7</w:t>
            </w:r>
          </w:p>
        </w:tc>
        <w:tc>
          <w:tcPr>
            <w:tcW w:type="dxa" w:w="137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2F6FA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sz w:val="19"/>
              </w:rPr>
              <w:t>10</w:t>
            </w:r>
          </w:p>
        </w:tc>
        <w:tc>
          <w:tcPr>
            <w:tcW w:type="dxa" w:w="137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2F6FA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sz w:val="19"/>
              </w:rPr>
              <w:t>+7</w:t>
            </w:r>
          </w:p>
        </w:tc>
        <w:tc>
          <w:tcPr>
            <w:tcW w:type="dxa" w:w="137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2F6FA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sz w:val="19"/>
              </w:rPr>
              <w:t>+10</w:t>
            </w:r>
          </w:p>
        </w:tc>
      </w:tr>
      <w:tr>
        <w:trPr>
          <w:cantSplit/>
        </w:trPr>
        <w:tc>
          <w:tcPr>
            <w:tcW w:type="dxa" w:w="137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sz w:val="19"/>
              </w:rPr>
              <w:t>P03</w:t>
            </w:r>
          </w:p>
        </w:tc>
        <w:tc>
          <w:tcPr>
            <w:tcW w:type="dxa" w:w="137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sz w:val="19"/>
              </w:rPr>
              <w:t>5</w:t>
            </w:r>
          </w:p>
        </w:tc>
        <w:tc>
          <w:tcPr>
            <w:tcW w:type="dxa" w:w="137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sz w:val="19"/>
              </w:rPr>
              <w:t>7</w:t>
            </w:r>
          </w:p>
        </w:tc>
        <w:tc>
          <w:tcPr>
            <w:tcW w:type="dxa" w:w="137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sz w:val="19"/>
              </w:rPr>
              <w:t>9</w:t>
            </w:r>
          </w:p>
        </w:tc>
        <w:tc>
          <w:tcPr>
            <w:tcW w:type="dxa" w:w="137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sz w:val="19"/>
              </w:rPr>
              <w:t>15</w:t>
            </w:r>
          </w:p>
        </w:tc>
        <w:tc>
          <w:tcPr>
            <w:tcW w:type="dxa" w:w="137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sz w:val="19"/>
              </w:rPr>
              <w:t>+4</w:t>
            </w:r>
          </w:p>
        </w:tc>
        <w:tc>
          <w:tcPr>
            <w:tcW w:type="dxa" w:w="137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sz w:val="19"/>
              </w:rPr>
              <w:t>+8</w:t>
            </w:r>
          </w:p>
        </w:tc>
      </w:tr>
      <w:tr>
        <w:trPr>
          <w:cantSplit/>
        </w:trPr>
        <w:tc>
          <w:tcPr>
            <w:tcW w:type="dxa" w:w="137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2F6FA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sz w:val="19"/>
              </w:rPr>
              <w:t>P04</w:t>
            </w:r>
          </w:p>
        </w:tc>
        <w:tc>
          <w:tcPr>
            <w:tcW w:type="dxa" w:w="137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2F6FA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sz w:val="19"/>
              </w:rPr>
              <w:t>1</w:t>
            </w:r>
          </w:p>
        </w:tc>
        <w:tc>
          <w:tcPr>
            <w:tcW w:type="dxa" w:w="137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2F6FA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sz w:val="19"/>
              </w:rPr>
              <w:t>1</w:t>
            </w:r>
          </w:p>
        </w:tc>
        <w:tc>
          <w:tcPr>
            <w:tcW w:type="dxa" w:w="137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2F6FA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sz w:val="19"/>
              </w:rPr>
              <w:t>6</w:t>
            </w:r>
          </w:p>
        </w:tc>
        <w:tc>
          <w:tcPr>
            <w:tcW w:type="dxa" w:w="137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2F6FA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sz w:val="19"/>
              </w:rPr>
              <w:t>8</w:t>
            </w:r>
          </w:p>
        </w:tc>
        <w:tc>
          <w:tcPr>
            <w:tcW w:type="dxa" w:w="137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2F6FA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sz w:val="19"/>
              </w:rPr>
              <w:t>+5</w:t>
            </w:r>
          </w:p>
        </w:tc>
        <w:tc>
          <w:tcPr>
            <w:tcW w:type="dxa" w:w="137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2F6FA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sz w:val="19"/>
              </w:rPr>
              <w:t>+7</w:t>
            </w:r>
          </w:p>
        </w:tc>
      </w:tr>
      <w:tr>
        <w:trPr>
          <w:cantSplit/>
        </w:trPr>
        <w:tc>
          <w:tcPr>
            <w:tcW w:type="dxa" w:w="137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sz w:val="19"/>
              </w:rPr>
              <w:t>P05</w:t>
            </w:r>
          </w:p>
        </w:tc>
        <w:tc>
          <w:tcPr>
            <w:tcW w:type="dxa" w:w="137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sz w:val="19"/>
              </w:rPr>
              <w:t>0</w:t>
            </w:r>
          </w:p>
        </w:tc>
        <w:tc>
          <w:tcPr>
            <w:tcW w:type="dxa" w:w="137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sz w:val="19"/>
              </w:rPr>
              <w:t>0</w:t>
            </w:r>
          </w:p>
        </w:tc>
        <w:tc>
          <w:tcPr>
            <w:tcW w:type="dxa" w:w="137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sz w:val="19"/>
              </w:rPr>
              <w:t>5</w:t>
            </w:r>
          </w:p>
        </w:tc>
        <w:tc>
          <w:tcPr>
            <w:tcW w:type="dxa" w:w="137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sz w:val="19"/>
              </w:rPr>
              <w:t>6</w:t>
            </w:r>
          </w:p>
        </w:tc>
        <w:tc>
          <w:tcPr>
            <w:tcW w:type="dxa" w:w="137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sz w:val="19"/>
              </w:rPr>
              <w:t>+5</w:t>
            </w:r>
          </w:p>
        </w:tc>
        <w:tc>
          <w:tcPr>
            <w:tcW w:type="dxa" w:w="137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sz w:val="19"/>
              </w:rPr>
              <w:t>+6</w:t>
            </w:r>
          </w:p>
        </w:tc>
      </w:tr>
      <w:tr>
        <w:trPr>
          <w:cantSplit/>
        </w:trPr>
        <w:tc>
          <w:tcPr>
            <w:tcW w:type="dxa" w:w="137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2F6FA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sz w:val="19"/>
              </w:rPr>
              <w:t>P06</w:t>
            </w:r>
          </w:p>
        </w:tc>
        <w:tc>
          <w:tcPr>
            <w:tcW w:type="dxa" w:w="137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2F6FA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sz w:val="19"/>
              </w:rPr>
              <w:t>4</w:t>
            </w:r>
          </w:p>
        </w:tc>
        <w:tc>
          <w:tcPr>
            <w:tcW w:type="dxa" w:w="137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2F6FA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sz w:val="19"/>
              </w:rPr>
              <w:t>5</w:t>
            </w:r>
          </w:p>
        </w:tc>
        <w:tc>
          <w:tcPr>
            <w:tcW w:type="dxa" w:w="137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2F6FA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sz w:val="19"/>
              </w:rPr>
              <w:t>8</w:t>
            </w:r>
          </w:p>
        </w:tc>
        <w:tc>
          <w:tcPr>
            <w:tcW w:type="dxa" w:w="137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2F6FA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sz w:val="19"/>
              </w:rPr>
              <w:t>11</w:t>
            </w:r>
          </w:p>
        </w:tc>
        <w:tc>
          <w:tcPr>
            <w:tcW w:type="dxa" w:w="137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2F6FA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sz w:val="19"/>
              </w:rPr>
              <w:t>+4</w:t>
            </w:r>
          </w:p>
        </w:tc>
        <w:tc>
          <w:tcPr>
            <w:tcW w:type="dxa" w:w="137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2F6FA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sz w:val="19"/>
              </w:rPr>
              <w:t>+6</w:t>
            </w:r>
          </w:p>
        </w:tc>
      </w:tr>
      <w:tr>
        <w:trPr>
          <w:cantSplit/>
        </w:trPr>
        <w:tc>
          <w:tcPr>
            <w:tcW w:type="dxa" w:w="137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sz w:val="19"/>
              </w:rPr>
              <w:t>P07</w:t>
            </w:r>
          </w:p>
        </w:tc>
        <w:tc>
          <w:tcPr>
            <w:tcW w:type="dxa" w:w="137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sz w:val="19"/>
              </w:rPr>
              <w:t>0</w:t>
            </w:r>
          </w:p>
        </w:tc>
        <w:tc>
          <w:tcPr>
            <w:tcW w:type="dxa" w:w="137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sz w:val="19"/>
              </w:rPr>
              <w:t>0</w:t>
            </w:r>
          </w:p>
        </w:tc>
        <w:tc>
          <w:tcPr>
            <w:tcW w:type="dxa" w:w="137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sz w:val="19"/>
              </w:rPr>
              <w:t>4</w:t>
            </w:r>
          </w:p>
        </w:tc>
        <w:tc>
          <w:tcPr>
            <w:tcW w:type="dxa" w:w="137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sz w:val="19"/>
              </w:rPr>
              <w:t>5</w:t>
            </w:r>
          </w:p>
        </w:tc>
        <w:tc>
          <w:tcPr>
            <w:tcW w:type="dxa" w:w="137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sz w:val="19"/>
              </w:rPr>
              <w:t>+4</w:t>
            </w:r>
          </w:p>
        </w:tc>
        <w:tc>
          <w:tcPr>
            <w:tcW w:type="dxa" w:w="137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sz w:val="19"/>
              </w:rPr>
              <w:t>+5</w:t>
            </w:r>
          </w:p>
        </w:tc>
      </w:tr>
      <w:tr>
        <w:trPr>
          <w:cantSplit/>
        </w:trPr>
        <w:tc>
          <w:tcPr>
            <w:tcW w:type="dxa" w:w="137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2F6FA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sz w:val="19"/>
              </w:rPr>
              <w:t>P08</w:t>
            </w:r>
          </w:p>
        </w:tc>
        <w:tc>
          <w:tcPr>
            <w:tcW w:type="dxa" w:w="137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2F6FA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sz w:val="19"/>
              </w:rPr>
              <w:t>1</w:t>
            </w:r>
          </w:p>
        </w:tc>
        <w:tc>
          <w:tcPr>
            <w:tcW w:type="dxa" w:w="137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2F6FA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sz w:val="19"/>
              </w:rPr>
              <w:t>2</w:t>
            </w:r>
          </w:p>
        </w:tc>
        <w:tc>
          <w:tcPr>
            <w:tcW w:type="dxa" w:w="137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2F6FA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sz w:val="19"/>
              </w:rPr>
              <w:t>0</w:t>
            </w:r>
          </w:p>
        </w:tc>
        <w:tc>
          <w:tcPr>
            <w:tcW w:type="dxa" w:w="137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2F6FA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sz w:val="19"/>
              </w:rPr>
              <w:t>0</w:t>
            </w:r>
          </w:p>
        </w:tc>
        <w:tc>
          <w:tcPr>
            <w:tcW w:type="dxa" w:w="137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2F6FA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sz w:val="19"/>
              </w:rPr>
              <w:t>−1</w:t>
            </w:r>
          </w:p>
        </w:tc>
        <w:tc>
          <w:tcPr>
            <w:tcW w:type="dxa" w:w="137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2F6FA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sz w:val="19"/>
              </w:rPr>
              <w:t>−2</w:t>
            </w:r>
          </w:p>
        </w:tc>
      </w:tr>
      <w:tr>
        <w:trPr>
          <w:cantSplit/>
        </w:trPr>
        <w:tc>
          <w:tcPr>
            <w:tcW w:type="dxa" w:w="137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sz w:val="19"/>
              </w:rPr>
              <w:t>合計</w:t>
            </w:r>
          </w:p>
        </w:tc>
        <w:tc>
          <w:tcPr>
            <w:tcW w:type="dxa" w:w="137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sz w:val="19"/>
              </w:rPr>
              <w:t>13</w:t>
            </w:r>
          </w:p>
        </w:tc>
        <w:tc>
          <w:tcPr>
            <w:tcW w:type="dxa" w:w="137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sz w:val="19"/>
              </w:rPr>
              <w:t>18</w:t>
            </w:r>
          </w:p>
        </w:tc>
        <w:tc>
          <w:tcPr>
            <w:tcW w:type="dxa" w:w="137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sz w:val="19"/>
              </w:rPr>
              <w:t>47</w:t>
            </w:r>
          </w:p>
        </w:tc>
        <w:tc>
          <w:tcPr>
            <w:tcW w:type="dxa" w:w="137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sz w:val="19"/>
              </w:rPr>
              <w:t>67</w:t>
            </w:r>
          </w:p>
        </w:tc>
        <w:tc>
          <w:tcPr>
            <w:tcW w:type="dxa" w:w="137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sz w:val="19"/>
              </w:rPr>
              <w:t>+34</w:t>
            </w:r>
          </w:p>
        </w:tc>
        <w:tc>
          <w:tcPr>
            <w:tcW w:type="dxa" w:w="137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sz w:val="19"/>
              </w:rPr>
              <w:t>+49</w:t>
            </w:r>
          </w:p>
        </w:tc>
      </w:tr>
    </w:tbl>
    <w:p>
      <w:pPr>
        <w:spacing w:after="20"/>
      </w:pPr>
    </w:p>
    <w:p>
      <w:pPr>
        <w:spacing w:after="100" w:line="271" w:lineRule="auto"/>
      </w:pPr>
      <w:r>
        <w:rPr>
          <w:rFonts w:ascii="Microsoft JhengHei" w:hAnsi="Microsoft JhengHei" w:eastAsia="Microsoft JhengHei"/>
          <w:sz w:val="21"/>
        </w:rPr>
        <w:t>交叉核對：基準活躍週合計 2+0+5+1+0+4+0+1 = 13（吻合）；示範合計 8+7+9+6+5+8+4+0 = 47（吻合）；互動 3+0+7+1+0+5+0+2 = 18、12+10+15+8+6+11+5+0 = 67（吻合）。</w:t>
      </w:r>
    </w:p>
    <w:p>
      <w:pPr>
        <w:pStyle w:val="Heading2"/>
      </w:pPr>
      <w:r>
        <w:rPr>
          <w:rFonts w:ascii="Microsoft JhengHei" w:hAnsi="Microsoft JhengHei" w:eastAsia="Microsoft JhengHei"/>
          <w:sz w:val="21"/>
        </w:rPr>
        <w:t>5.3 活躍週分布（0 / 1–5 / ≥6）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 w:val="true"/>
          <w:cantSplit/>
        </w:trPr>
        <w:tc>
          <w:tcPr>
            <w:tcW w:type="dxa" w:w="321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17365D"/>
          </w:tcPr>
          <w:p>
            <w:pPr>
              <w:spacing w:after="0" w:line="240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區間</w:t>
            </w:r>
          </w:p>
        </w:tc>
        <w:tc>
          <w:tcPr>
            <w:tcW w:type="dxa" w:w="321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17365D"/>
          </w:tcPr>
          <w:p>
            <w:pPr>
              <w:spacing w:after="0" w:line="240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基準期人數</w:t>
            </w:r>
          </w:p>
        </w:tc>
        <w:tc>
          <w:tcPr>
            <w:tcW w:type="dxa" w:w="321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17365D"/>
          </w:tcPr>
          <w:p>
            <w:pPr>
              <w:spacing w:after="0" w:line="240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示範期人數</w:t>
            </w:r>
          </w:p>
        </w:tc>
      </w:tr>
      <w:tr>
        <w:trPr>
          <w:cantSplit/>
        </w:trPr>
        <w:tc>
          <w:tcPr>
            <w:tcW w:type="dxa" w:w="321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sz w:val="19"/>
              </w:rPr>
              <w:t>0 週</w:t>
            </w:r>
          </w:p>
        </w:tc>
        <w:tc>
          <w:tcPr>
            <w:tcW w:type="dxa" w:w="321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sz w:val="19"/>
              </w:rPr>
              <w:t>3（P02、P05、P07）</w:t>
            </w:r>
          </w:p>
        </w:tc>
        <w:tc>
          <w:tcPr>
            <w:tcW w:type="dxa" w:w="321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sz w:val="19"/>
              </w:rPr>
              <w:t>1（P08）</w:t>
            </w:r>
          </w:p>
        </w:tc>
      </w:tr>
      <w:tr>
        <w:trPr>
          <w:cantSplit/>
        </w:trPr>
        <w:tc>
          <w:tcPr>
            <w:tcW w:type="dxa" w:w="321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2F6FA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sz w:val="19"/>
              </w:rPr>
              <w:t>1–5 週</w:t>
            </w:r>
          </w:p>
        </w:tc>
        <w:tc>
          <w:tcPr>
            <w:tcW w:type="dxa" w:w="321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2F6FA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sz w:val="19"/>
              </w:rPr>
              <w:t>5（P01、P03、P04、P06、P08）</w:t>
            </w:r>
          </w:p>
        </w:tc>
        <w:tc>
          <w:tcPr>
            <w:tcW w:type="dxa" w:w="321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2F6FA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sz w:val="19"/>
              </w:rPr>
              <w:t>2（P07=4、P05=5）</w:t>
            </w:r>
          </w:p>
        </w:tc>
      </w:tr>
      <w:tr>
        <w:trPr>
          <w:cantSplit/>
        </w:trPr>
        <w:tc>
          <w:tcPr>
            <w:tcW w:type="dxa" w:w="321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sz w:val="19"/>
              </w:rPr>
              <w:t>≥6 週</w:t>
            </w:r>
          </w:p>
        </w:tc>
        <w:tc>
          <w:tcPr>
            <w:tcW w:type="dxa" w:w="321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sz w:val="19"/>
              </w:rPr>
              <w:t>0</w:t>
            </w:r>
          </w:p>
        </w:tc>
        <w:tc>
          <w:tcPr>
            <w:tcW w:type="dxa" w:w="321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sz w:val="19"/>
              </w:rPr>
              <w:t>5（P02=7、P04=6、P06=8、P01=8、P03=9）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Microsoft JhengHei" w:hAnsi="Microsoft JhengHei" w:eastAsia="Microsoft JhengHei"/>
          <w:sz w:val="21"/>
        </w:rPr>
        <w:t>5.4 有效互動定義與計數規則</w:t>
      </w:r>
    </w:p>
    <w:p>
      <w:pPr>
        <w:spacing w:after="100" w:line="271" w:lineRule="auto"/>
      </w:pPr>
      <w:r>
        <w:rPr>
          <w:rFonts w:ascii="Microsoft JhengHei" w:hAnsi="Microsoft JhengHei" w:eastAsia="Microsoft JhengHei"/>
          <w:sz w:val="21"/>
        </w:rPr>
        <w:t>本案例只提供合成成員彙總值，未提供逐筆事件日誌；因此此處展示的是依指定彙總值計算，不表示已從原始平台事件執行去重或排除。有效互動的操作定義、排除類型與 REAL 複核步驟見第 4 節。</w:t>
      </w:r>
    </w:p>
    <w:p>
      <w:pPr>
        <w:pStyle w:val="Heading2"/>
      </w:pPr>
      <w:r>
        <w:rPr>
          <w:rFonts w:ascii="Microsoft JhengHei" w:hAnsi="Microsoft JhengHei" w:eastAsia="Microsoft JhengHei"/>
          <w:sz w:val="21"/>
        </w:rPr>
        <w:t>5.5 解讀限制與小數顯示</w:t>
      </w:r>
    </w:p>
    <w:p>
      <w:pPr>
        <w:spacing w:after="100" w:line="271" w:lineRule="auto"/>
      </w:pPr>
      <w:r>
        <w:rPr>
          <w:rFonts w:ascii="Microsoft JhengHei" w:hAnsi="Microsoft JhengHei" w:eastAsia="Microsoft JhengHei"/>
          <w:sz w:val="21"/>
        </w:rPr>
        <w:t>總量增加（活躍週 +34、互動 +49、約 3.72 倍）</w:t>
      </w:r>
      <w:r>
        <w:rPr>
          <w:rFonts w:ascii="Microsoft JhengHei" w:hAnsi="Microsoft JhengHei" w:eastAsia="Microsoft JhengHei"/>
          <w:b/>
          <w:sz w:val="21"/>
        </w:rPr>
        <w:t>不等同因果關係</w:t>
      </w:r>
      <w:r>
        <w:rPr>
          <w:rFonts w:ascii="Microsoft JhengHei" w:hAnsi="Microsoft JhengHei" w:eastAsia="Microsoft JhengHei"/>
          <w:sz w:val="21"/>
        </w:rPr>
        <w:t>，亦不表示每週互動深度顯著提高。每活躍人週互動由 1.38 顯示為 1.43，變化很小；總量成長主要來自有活動的人週數增加，而非每個活躍人週的內容密度明顯提高。本節數據均不得作為任何官方分數，官方分數未評定。</w:t>
      </w:r>
    </w:p>
    <w:p>
      <w:pPr>
        <w:spacing w:after="100" w:line="271" w:lineRule="auto"/>
      </w:pPr>
      <w:r>
        <w:rPr>
          <w:rFonts w:ascii="Microsoft JhengHei" w:hAnsi="Microsoft JhengHei" w:eastAsia="Microsoft JhengHei"/>
          <w:sz w:val="21"/>
        </w:rPr>
        <w:t>所有差值先以未四捨五入的結果計算，再依表列精度顯示。基準期 18÷13＝1.384615…，示範期 67÷47＝1.425531…；未四捨五入差值為 0.040916…，因此報告為 +0.04。直接用已顯示的 1.43−1.38 會得到 0.05，這是先四捨五入再相減造成的差異，不是本例實際差值。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760000" cy="3274105"/>
            <wp:docPr id="1" name="Picture 1" descr="圖 1：基準期與示範期使用率比較圖；SAMPLE/SYNTHETIC，n=8；描述性結果，不作因果推論。" title="圖 1：基準期與示範期使用率比較圖；SAMPLE/SYNTHETIC，n=8；描述性結果，不作因果推論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0109_R02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2741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 w:line="271" w:lineRule="auto"/>
      </w:pPr>
      <w:r>
        <w:rPr>
          <w:rFonts w:ascii="Microsoft JhengHei" w:hAnsi="Microsoft JhengHei" w:eastAsia="Microsoft JhengHei"/>
          <w:sz w:val="21"/>
        </w:rPr>
        <w:t>圖 1 說明：全部數字均為合成示例；同一 8 人名冊、基準期與示範期各 13 週。活躍成員率差異 +25.0 個百分點、活躍成員週率 +32.7 個百分點、示範持續使用率 +62.5 個百分點。差異僅供方法示範，無對照組，不得推論因果或官方得分。</w:t>
      </w:r>
    </w:p>
    <w:p>
      <w:pPr>
        <w:pStyle w:val="Heading1"/>
      </w:pPr>
      <w:r>
        <w:rPr>
          <w:rFonts w:ascii="Microsoft JhengHei" w:hAnsi="Microsoft JhengHei" w:eastAsia="Microsoft JhengHei"/>
          <w:sz w:val="21"/>
        </w:rPr>
        <w:t>第 6 節　證據解讀與限制</w:t>
      </w:r>
    </w:p>
    <w:p>
      <w:pPr>
        <w:spacing w:after="80" w:line="269" w:lineRule="auto"/>
        <w:ind w:left="312" w:hanging="312"/>
      </w:pPr>
      <w:r>
        <w:rPr>
          <w:rFonts w:ascii="Microsoft JhengHei" w:hAnsi="Microsoft JhengHei" w:eastAsia="Microsoft JhengHei"/>
          <w:sz w:val="21"/>
        </w:rPr>
        <w:t xml:space="preserve">1. </w:t>
      </w:r>
      <w:r>
        <w:rPr>
          <w:rFonts w:ascii="Microsoft JhengHei" w:hAnsi="Microsoft JhengHei" w:eastAsia="Microsoft JhengHei"/>
          <w:b/>
          <w:sz w:val="21"/>
        </w:rPr>
        <w:t>佐證性質</w:t>
      </w:r>
      <w:r>
        <w:rPr>
          <w:rFonts w:ascii="Microsoft JhengHei" w:hAnsi="Microsoft JhengHei" w:eastAsia="Microsoft JhengHei"/>
          <w:sz w:val="21"/>
        </w:rPr>
        <w:t>：官方 PDF 第 7 頁所載「社群網站知識討論區，人員使用網站頻率高」僅為參考佐證例，</w:t>
      </w:r>
      <w:r>
        <w:rPr>
          <w:rFonts w:ascii="Microsoft JhengHei" w:hAnsi="Microsoft JhengHei" w:eastAsia="Microsoft JhengHei"/>
          <w:b/>
          <w:sz w:val="21"/>
        </w:rPr>
        <w:t>不是分數</w:t>
      </w:r>
      <w:r>
        <w:rPr>
          <w:rFonts w:ascii="Microsoft JhengHei" w:hAnsi="Microsoft JhengHei" w:eastAsia="Microsoft JhengHei"/>
          <w:sz w:val="21"/>
        </w:rPr>
        <w:t>，不得折算任何評分或權重。</w:t>
      </w:r>
    </w:p>
    <w:p>
      <w:pPr>
        <w:spacing w:after="80" w:line="269" w:lineRule="auto"/>
        <w:ind w:left="312" w:hanging="312"/>
      </w:pPr>
      <w:r>
        <w:rPr>
          <w:rFonts w:ascii="Microsoft JhengHei" w:hAnsi="Microsoft JhengHei" w:eastAsia="Microsoft JhengHei"/>
          <w:sz w:val="21"/>
        </w:rPr>
        <w:t xml:space="preserve">2. </w:t>
      </w:r>
      <w:r>
        <w:rPr>
          <w:rFonts w:ascii="Microsoft JhengHei" w:hAnsi="Microsoft JhengHei" w:eastAsia="Microsoft JhengHei"/>
          <w:b/>
          <w:sz w:val="21"/>
        </w:rPr>
        <w:t>內部索引非官方編號</w:t>
      </w:r>
      <w:r>
        <w:rPr>
          <w:rFonts w:ascii="Microsoft JhengHei" w:hAnsi="Microsoft JhengHei" w:eastAsia="Microsoft JhengHei"/>
          <w:sz w:val="21"/>
        </w:rPr>
        <w:t>：157 內部索引 118 係本分析之內部對照索引，</w:t>
      </w:r>
      <w:r>
        <w:rPr>
          <w:rFonts w:ascii="Microsoft JhengHei" w:hAnsi="Microsoft JhengHei" w:eastAsia="Microsoft JhengHei"/>
          <w:b/>
          <w:sz w:val="21"/>
        </w:rPr>
        <w:t>不是官方方框流水號</w:t>
      </w:r>
      <w:r>
        <w:rPr>
          <w:rFonts w:ascii="Microsoft JhengHei" w:hAnsi="Microsoft JhengHei" w:eastAsia="Microsoft JhengHei"/>
          <w:sz w:val="21"/>
        </w:rPr>
        <w:t>，不得對外宣稱與官方表單編號相對應。</w:t>
      </w:r>
    </w:p>
    <w:p>
      <w:pPr>
        <w:spacing w:after="80" w:line="269" w:lineRule="auto"/>
        <w:ind w:left="312" w:hanging="312"/>
      </w:pPr>
      <w:r>
        <w:rPr>
          <w:rFonts w:ascii="Microsoft JhengHei" w:hAnsi="Microsoft JhengHei" w:eastAsia="Microsoft JhengHei"/>
          <w:sz w:val="21"/>
        </w:rPr>
        <w:t xml:space="preserve">3. </w:t>
      </w:r>
      <w:r>
        <w:rPr>
          <w:rFonts w:ascii="Microsoft JhengHei" w:hAnsi="Microsoft JhengHei" w:eastAsia="Microsoft JhengHei"/>
          <w:b/>
          <w:sz w:val="21"/>
        </w:rPr>
        <w:t>合成資料聲明</w:t>
      </w:r>
      <w:r>
        <w:rPr>
          <w:rFonts w:ascii="Microsoft JhengHei" w:hAnsi="Microsoft JhengHei" w:eastAsia="Microsoft JhengHei"/>
          <w:sz w:val="21"/>
        </w:rPr>
        <w:t>：全部人員（P01–P08）、期間、互動紀錄均為 SAMPLE/SYNTHETIC 合成樣本；協會真實平台、會員、日誌、權限、成效與核准狀態均 UNKNOWN。</w:t>
      </w:r>
    </w:p>
    <w:p>
      <w:pPr>
        <w:spacing w:after="80" w:line="269" w:lineRule="auto"/>
        <w:ind w:left="312" w:hanging="312"/>
      </w:pPr>
      <w:r>
        <w:rPr>
          <w:rFonts w:ascii="Microsoft JhengHei" w:hAnsi="Microsoft JhengHei" w:eastAsia="Microsoft JhengHei"/>
          <w:sz w:val="21"/>
        </w:rPr>
        <w:t xml:space="preserve">4. </w:t>
      </w:r>
      <w:r>
        <w:rPr>
          <w:rFonts w:ascii="Microsoft JhengHei" w:hAnsi="Microsoft JhengHei" w:eastAsia="Microsoft JhengHei"/>
          <w:b/>
          <w:sz w:val="21"/>
        </w:rPr>
        <w:t>門檻性質</w:t>
      </w:r>
      <w:r>
        <w:rPr>
          <w:rFonts w:ascii="Microsoft JhengHei" w:hAnsi="Microsoft JhengHei" w:eastAsia="Microsoft JhengHei"/>
          <w:sz w:val="21"/>
        </w:rPr>
        <w:t>：≥6 活躍週之「示範持續使用率」為本示範案例自訂之觀察門檻，</w:t>
      </w:r>
      <w:r>
        <w:rPr>
          <w:rFonts w:ascii="Microsoft JhengHei" w:hAnsi="Microsoft JhengHei" w:eastAsia="Microsoft JhengHei"/>
          <w:b/>
          <w:sz w:val="21"/>
        </w:rPr>
        <w:t>非官方規定</w:t>
      </w:r>
      <w:r>
        <w:rPr>
          <w:rFonts w:ascii="Microsoft JhengHei" w:hAnsi="Microsoft JhengHei" w:eastAsia="Microsoft JhengHei"/>
          <w:sz w:val="21"/>
        </w:rPr>
        <w:t>。</w:t>
      </w:r>
    </w:p>
    <w:p>
      <w:pPr>
        <w:spacing w:after="80" w:line="269" w:lineRule="auto"/>
        <w:ind w:left="312" w:hanging="312"/>
      </w:pPr>
      <w:r>
        <w:rPr>
          <w:rFonts w:ascii="Microsoft JhengHei" w:hAnsi="Microsoft JhengHei" w:eastAsia="Microsoft JhengHei"/>
          <w:sz w:val="21"/>
        </w:rPr>
        <w:t xml:space="preserve">5. </w:t>
      </w:r>
      <w:r>
        <w:rPr>
          <w:rFonts w:ascii="Microsoft JhengHei" w:hAnsi="Microsoft JhengHei" w:eastAsia="Microsoft JhengHei"/>
          <w:b/>
          <w:sz w:val="21"/>
        </w:rPr>
        <w:t>方法限制</w:t>
      </w:r>
      <w:r>
        <w:rPr>
          <w:rFonts w:ascii="Microsoft JhengHei" w:hAnsi="Microsoft JhengHei" w:eastAsia="Microsoft JhengHei"/>
          <w:sz w:val="21"/>
        </w:rPr>
        <w:t>：13 週短週期、8 人固定名冊之合成樣本，無對照組、無時間序列因果設計；P08 示範期歸零顯示個別差異存在，分布結果對個別成員敏感。</w:t>
      </w:r>
    </w:p>
    <w:p>
      <w:pPr>
        <w:spacing w:after="80" w:line="269" w:lineRule="auto"/>
        <w:ind w:left="312" w:hanging="312"/>
      </w:pPr>
      <w:r>
        <w:rPr>
          <w:rFonts w:ascii="Microsoft JhengHei" w:hAnsi="Microsoft JhengHei" w:eastAsia="Microsoft JhengHei"/>
          <w:sz w:val="21"/>
        </w:rPr>
        <w:t xml:space="preserve">6. </w:t>
      </w:r>
      <w:r>
        <w:rPr>
          <w:rFonts w:ascii="Microsoft JhengHei" w:hAnsi="Microsoft JhengHei" w:eastAsia="Microsoft JhengHei"/>
          <w:b/>
          <w:sz w:val="21"/>
        </w:rPr>
        <w:t>來源定位</w:t>
      </w:r>
      <w:r>
        <w:rPr>
          <w:rFonts w:ascii="Microsoft JhengHei" w:hAnsi="Microsoft JhengHei" w:eastAsia="Microsoft JhengHei"/>
          <w:sz w:val="21"/>
        </w:rPr>
        <w:t>：本分析的設計參考為官方資料表第 7 頁與正式 I18-E17 對照（專案內部索引 118）；此處僅說明來源用途，不表示協會實績或評分。</w:t>
      </w:r>
    </w:p>
    <w:p>
      <w:pPr>
        <w:pStyle w:val="Heading1"/>
        <w:pageBreakBefore/>
      </w:pPr>
      <w:r>
        <w:rPr>
          <w:rFonts w:ascii="Microsoft JhengHei" w:hAnsi="Microsoft JhengHei" w:eastAsia="Microsoft JhengHei"/>
          <w:sz w:val="21"/>
        </w:rPr>
        <w:t>第 7 節　可執行之建議追蹤表</w:t>
      </w:r>
    </w:p>
    <w:p>
      <w:pPr>
        <w:spacing w:after="100" w:line="271" w:lineRule="auto"/>
      </w:pPr>
      <w:r>
        <w:rPr>
          <w:rFonts w:ascii="Microsoft JhengHei" w:hAnsi="Microsoft JhengHei" w:eastAsia="Microsoft JhengHei"/>
          <w:sz w:val="21"/>
        </w:rPr>
        <w:t>下表是 SAMPLE 操作建議，不是協會已核准或已執行的決議。角色名稱僅為建議，實際責任人及權限須由協會確認。未通過 G0–G5 前，不開始真實資料存取或匯出。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606"/>
        <w:gridCol w:w="1606"/>
        <w:gridCol w:w="1606"/>
        <w:gridCol w:w="1606"/>
        <w:gridCol w:w="1606"/>
        <w:gridCol w:w="1606"/>
      </w:tblGrid>
      <w:tr>
        <w:trPr>
          <w:tblHeader w:val="true"/>
          <w:cantSplit/>
        </w:trPr>
        <w:tc>
          <w:tcPr>
            <w:tcW w:type="dxa" w:w="160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17365D"/>
          </w:tcPr>
          <w:p>
            <w:pPr>
              <w:spacing w:after="0" w:line="240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編號</w:t>
            </w:r>
          </w:p>
        </w:tc>
        <w:tc>
          <w:tcPr>
            <w:tcW w:type="dxa" w:w="160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17365D"/>
          </w:tcPr>
          <w:p>
            <w:pPr>
              <w:spacing w:after="0" w:line="240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建議行動</w:t>
            </w:r>
          </w:p>
        </w:tc>
        <w:tc>
          <w:tcPr>
            <w:tcW w:type="dxa" w:w="160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17365D"/>
          </w:tcPr>
          <w:p>
            <w:pPr>
              <w:spacing w:after="0" w:line="240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建議角色（待實際指派）</w:t>
            </w:r>
          </w:p>
        </w:tc>
        <w:tc>
          <w:tcPr>
            <w:tcW w:type="dxa" w:w="160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17365D"/>
          </w:tcPr>
          <w:p>
            <w:pPr>
              <w:spacing w:after="0" w:line="240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前置條件</w:t>
            </w:r>
          </w:p>
        </w:tc>
        <w:tc>
          <w:tcPr>
            <w:tcW w:type="dxa" w:w="160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17365D"/>
          </w:tcPr>
          <w:p>
            <w:pPr>
              <w:spacing w:after="0" w:line="240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完成與複核判準</w:t>
            </w:r>
          </w:p>
        </w:tc>
        <w:tc>
          <w:tcPr>
            <w:tcW w:type="dxa" w:w="160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17365D"/>
          </w:tcPr>
          <w:p>
            <w:pPr>
              <w:spacing w:after="0" w:line="240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REAL 狀態</w:t>
            </w:r>
          </w:p>
        </w:tc>
      </w:tr>
      <w:tr>
        <w:trPr>
          <w:cantSplit/>
        </w:trPr>
        <w:tc>
          <w:tcPr>
            <w:tcW w:type="dxa" w:w="160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sz w:val="19"/>
              </w:rPr>
              <w:t>T-01</w:t>
            </w:r>
          </w:p>
        </w:tc>
        <w:tc>
          <w:tcPr>
            <w:tcW w:type="dxa" w:w="160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sz w:val="19"/>
              </w:rPr>
              <w:t>寫清分析目的、必要欄位與用途，先確認是否有權處理資料</w:t>
            </w:r>
          </w:p>
        </w:tc>
        <w:tc>
          <w:tcPr>
            <w:tcW w:type="dxa" w:w="160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sz w:val="19"/>
              </w:rPr>
              <w:t>文件主責、授權確認角色</w:t>
            </w:r>
          </w:p>
        </w:tc>
        <w:tc>
          <w:tcPr>
            <w:tcW w:type="dxa" w:w="160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sz w:val="19"/>
              </w:rPr>
              <w:t>G0–G2；未完成不得讀取或匯出</w:t>
            </w:r>
          </w:p>
        </w:tc>
        <w:tc>
          <w:tcPr>
            <w:tcW w:type="dxa" w:w="160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sz w:val="19"/>
              </w:rPr>
              <w:t>有權人員確認範圍及處理依據；不填造姓名或簽核</w:t>
            </w:r>
          </w:p>
        </w:tc>
        <w:tc>
          <w:tcPr>
            <w:tcW w:type="dxa" w:w="160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sz w:val="19"/>
              </w:rPr>
              <w:t>UNKNOWN／HOLD</w:t>
            </w:r>
          </w:p>
        </w:tc>
      </w:tr>
      <w:tr>
        <w:trPr>
          <w:cantSplit/>
        </w:trPr>
        <w:tc>
          <w:tcPr>
            <w:tcW w:type="dxa" w:w="160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2F6FA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sz w:val="19"/>
              </w:rPr>
              <w:t>T-02</w:t>
            </w:r>
          </w:p>
        </w:tc>
        <w:tc>
          <w:tcPr>
            <w:tcW w:type="dxa" w:w="160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2F6FA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sz w:val="19"/>
              </w:rPr>
              <w:t>凍結比較對象、名冊版本、期間、週界和時區，先定義加入、退出、停權及零活動處理</w:t>
            </w:r>
          </w:p>
        </w:tc>
        <w:tc>
          <w:tcPr>
            <w:tcW w:type="dxa" w:w="160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2F6FA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sz w:val="19"/>
              </w:rPr>
              <w:t>文件主責、資料保管角色</w:t>
            </w:r>
          </w:p>
        </w:tc>
        <w:tc>
          <w:tcPr>
            <w:tcW w:type="dxa" w:w="160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2F6FA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sz w:val="19"/>
              </w:rPr>
              <w:t>G3</w:t>
            </w:r>
          </w:p>
        </w:tc>
        <w:tc>
          <w:tcPr>
            <w:tcW w:type="dxa" w:w="160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2F6FA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sz w:val="19"/>
              </w:rPr>
              <w:t>日期完整、期間等長；第二人能按同一規則重算分母</w:t>
            </w:r>
          </w:p>
        </w:tc>
        <w:tc>
          <w:tcPr>
            <w:tcW w:type="dxa" w:w="160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2F6FA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sz w:val="19"/>
              </w:rPr>
              <w:t>UNKNOWN／HOLD</w:t>
            </w:r>
          </w:p>
        </w:tc>
      </w:tr>
      <w:tr>
        <w:trPr>
          <w:cantSplit/>
        </w:trPr>
        <w:tc>
          <w:tcPr>
            <w:tcW w:type="dxa" w:w="160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sz w:val="19"/>
              </w:rPr>
              <w:t>T-03</w:t>
            </w:r>
          </w:p>
        </w:tc>
        <w:tc>
          <w:tcPr>
            <w:tcW w:type="dxa" w:w="160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sz w:val="19"/>
              </w:rPr>
              <w:t>只保留必要欄位；使用代碼和合格事件分類，不把個人資料或回覆原文帶進報告</w:t>
            </w:r>
          </w:p>
        </w:tc>
        <w:tc>
          <w:tcPr>
            <w:tcW w:type="dxa" w:w="160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sz w:val="19"/>
              </w:rPr>
              <w:t>資料保管角色</w:t>
            </w:r>
          </w:p>
        </w:tc>
        <w:tc>
          <w:tcPr>
            <w:tcW w:type="dxa" w:w="160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sz w:val="19"/>
              </w:rPr>
              <w:t>G4</w:t>
            </w:r>
          </w:p>
        </w:tc>
        <w:tc>
          <w:tcPr>
            <w:tcW w:type="dxa" w:w="160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sz w:val="19"/>
              </w:rPr>
              <w:t>欄位白名單與遮罩檢查可核對；模糊事件有例外紀錄</w:t>
            </w:r>
          </w:p>
        </w:tc>
        <w:tc>
          <w:tcPr>
            <w:tcW w:type="dxa" w:w="160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sz w:val="19"/>
              </w:rPr>
              <w:t>UNKNOWN／HOLD</w:t>
            </w:r>
          </w:p>
        </w:tc>
      </w:tr>
      <w:tr>
        <w:trPr>
          <w:cantSplit/>
        </w:trPr>
        <w:tc>
          <w:tcPr>
            <w:tcW w:type="dxa" w:w="160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2F6FA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sz w:val="19"/>
              </w:rPr>
              <w:t>T-04</w:t>
            </w:r>
          </w:p>
        </w:tc>
        <w:tc>
          <w:tcPr>
            <w:tcW w:type="dxa" w:w="160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2F6FA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sz w:val="19"/>
              </w:rPr>
              <w:t>原始可識別資料留在協會指定的受控環境，不放公開或共用空間</w:t>
            </w:r>
          </w:p>
        </w:tc>
        <w:tc>
          <w:tcPr>
            <w:tcW w:type="dxa" w:w="160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2F6FA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sz w:val="19"/>
              </w:rPr>
              <w:t>資料保管、發布審核角色</w:t>
            </w:r>
          </w:p>
        </w:tc>
        <w:tc>
          <w:tcPr>
            <w:tcW w:type="dxa" w:w="160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2F6FA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sz w:val="19"/>
              </w:rPr>
              <w:t>G5</w:t>
            </w:r>
          </w:p>
        </w:tc>
        <w:tc>
          <w:tcPr>
            <w:tcW w:type="dxa" w:w="160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2F6FA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sz w:val="19"/>
              </w:rPr>
              <w:t>存取角色、保存規則和位置由協會實際確認</w:t>
            </w:r>
          </w:p>
        </w:tc>
        <w:tc>
          <w:tcPr>
            <w:tcW w:type="dxa" w:w="160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2F6FA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sz w:val="19"/>
              </w:rPr>
              <w:t>UNKNOWN／HOLD</w:t>
            </w:r>
          </w:p>
        </w:tc>
      </w:tr>
      <w:tr>
        <w:trPr>
          <w:cantSplit/>
        </w:trPr>
        <w:tc>
          <w:tcPr>
            <w:tcW w:type="dxa" w:w="160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sz w:val="19"/>
              </w:rPr>
              <w:t>T-05</w:t>
            </w:r>
          </w:p>
        </w:tc>
        <w:tc>
          <w:tcPr>
            <w:tcW w:type="dxa" w:w="160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sz w:val="19"/>
              </w:rPr>
              <w:t>由不同的授權複核者重算納入／排除數、活躍週、分子、分母、比例與差值</w:t>
            </w:r>
          </w:p>
        </w:tc>
        <w:tc>
          <w:tcPr>
            <w:tcW w:type="dxa" w:w="160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sz w:val="19"/>
              </w:rPr>
              <w:t>獨立複核角色</w:t>
            </w:r>
          </w:p>
        </w:tc>
        <w:tc>
          <w:tcPr>
            <w:tcW w:type="dxa" w:w="160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sz w:val="19"/>
              </w:rPr>
              <w:t>完成最小資料取得後、發布前</w:t>
            </w:r>
          </w:p>
        </w:tc>
        <w:tc>
          <w:tcPr>
            <w:tcW w:type="dxa" w:w="160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sz w:val="19"/>
              </w:rPr>
              <w:t>逐項重算一致；差異已說明並留存</w:t>
            </w:r>
          </w:p>
        </w:tc>
        <w:tc>
          <w:tcPr>
            <w:tcW w:type="dxa" w:w="160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sz w:val="19"/>
              </w:rPr>
              <w:t>UNKNOWN／HOLD</w:t>
            </w:r>
          </w:p>
        </w:tc>
      </w:tr>
      <w:tr>
        <w:trPr>
          <w:cantSplit/>
        </w:trPr>
        <w:tc>
          <w:tcPr>
            <w:tcW w:type="dxa" w:w="160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2F6FA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sz w:val="19"/>
              </w:rPr>
              <w:t>T-06</w:t>
            </w:r>
          </w:p>
        </w:tc>
        <w:tc>
          <w:tcPr>
            <w:tcW w:type="dxa" w:w="160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2F6FA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sz w:val="19"/>
              </w:rPr>
              <w:t>發布前由發布審核角色檢查小群體辨識風險；規則未確認時先隱去或合併，仍有風險就停止發布</w:t>
            </w:r>
          </w:p>
        </w:tc>
        <w:tc>
          <w:tcPr>
            <w:tcW w:type="dxa" w:w="160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2F6FA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sz w:val="19"/>
              </w:rPr>
              <w:t>發布審核角色</w:t>
            </w:r>
          </w:p>
        </w:tc>
        <w:tc>
          <w:tcPr>
            <w:tcW w:type="dxa" w:w="160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2F6FA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sz w:val="19"/>
              </w:rPr>
              <w:t>G4、G5；小群體揭露規則由有權者確認</w:t>
            </w:r>
          </w:p>
        </w:tc>
        <w:tc>
          <w:tcPr>
            <w:tcW w:type="dxa" w:w="160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2F6FA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sz w:val="19"/>
              </w:rPr>
              <w:t>安全聚合才可發布；原始日誌與識別對照不外傳</w:t>
            </w:r>
          </w:p>
        </w:tc>
        <w:tc>
          <w:tcPr>
            <w:tcW w:type="dxa" w:w="160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2F6FA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sz w:val="19"/>
              </w:rPr>
              <w:t>UNKNOWN／HOLD</w:t>
            </w:r>
          </w:p>
        </w:tc>
      </w:tr>
    </w:tbl>
    <w:p>
      <w:pPr>
        <w:spacing w:after="20"/>
      </w:pPr>
    </w:p>
    <w:p>
      <w:pPr>
        <w:spacing w:after="100" w:line="271" w:lineRule="auto"/>
      </w:pPr>
      <w:r>
        <w:rPr>
          <w:rFonts w:ascii="Microsoft JhengHei" w:hAnsi="Microsoft JhengHei" w:eastAsia="Microsoft JhengHei"/>
          <w:sz w:val="21"/>
        </w:rPr>
        <w:t>以上時序是未來可採用的低維護做法，不表示已有平台、角色、保管制度、發布門檻或核准決議。</w:t>
      </w:r>
    </w:p>
    <w:p>
      <w:pPr>
        <w:pStyle w:val="Heading1"/>
        <w:pageBreakBefore/>
      </w:pPr>
      <w:r>
        <w:rPr>
          <w:rFonts w:ascii="Microsoft JhengHei" w:hAnsi="Microsoft JhengHei" w:eastAsia="Microsoft JhengHei"/>
          <w:sz w:val="21"/>
        </w:rPr>
        <w:t>第 8 節　已填樣本分析工作表（已填：SAMPLE/SYNTHETIC）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 w:val="true"/>
          <w:cantSplit/>
        </w:trPr>
        <w:tc>
          <w:tcPr>
            <w:tcW w:type="dxa" w:w="481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17365D"/>
          </w:tcPr>
          <w:p>
            <w:pPr>
              <w:spacing w:after="0" w:line="240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欄位</w:t>
            </w:r>
          </w:p>
        </w:tc>
        <w:tc>
          <w:tcPr>
            <w:tcW w:type="dxa" w:w="481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17365D"/>
          </w:tcPr>
          <w:p>
            <w:pPr>
              <w:spacing w:after="0" w:line="240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已填值</w:t>
            </w:r>
          </w:p>
        </w:tc>
      </w:tr>
      <w:tr>
        <w:trPr>
          <w:cantSplit/>
        </w:trPr>
        <w:tc>
          <w:tcPr>
            <w:tcW w:type="dxa" w:w="481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sz w:val="19"/>
              </w:rPr>
              <w:t>分析對象</w:t>
            </w:r>
          </w:p>
        </w:tc>
        <w:tc>
          <w:tcPr>
            <w:tcW w:type="dxa" w:w="481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sz w:val="19"/>
              </w:rPr>
              <w:t>案例 SYN-0109-CASE-01</w:t>
            </w:r>
          </w:p>
        </w:tc>
      </w:tr>
      <w:tr>
        <w:trPr>
          <w:cantSplit/>
        </w:trPr>
        <w:tc>
          <w:tcPr>
            <w:tcW w:type="dxa" w:w="481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2F6FA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sz w:val="19"/>
              </w:rPr>
              <w:t>資料性質</w:t>
            </w:r>
          </w:p>
        </w:tc>
        <w:tc>
          <w:tcPr>
            <w:tcW w:type="dxa" w:w="481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2F6FA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sz w:val="19"/>
              </w:rPr>
              <w:t>SAMPLE/SYNTHETIC 合成樣本</w:t>
            </w:r>
          </w:p>
        </w:tc>
      </w:tr>
      <w:tr>
        <w:trPr>
          <w:cantSplit/>
        </w:trPr>
        <w:tc>
          <w:tcPr>
            <w:tcW w:type="dxa" w:w="481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sz w:val="19"/>
              </w:rPr>
              <w:t>期間</w:t>
            </w:r>
          </w:p>
        </w:tc>
        <w:tc>
          <w:tcPr>
            <w:tcW w:type="dxa" w:w="481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sz w:val="19"/>
              </w:rPr>
              <w:t>兩期均 13 週</w:t>
            </w:r>
          </w:p>
        </w:tc>
      </w:tr>
      <w:tr>
        <w:trPr>
          <w:cantSplit/>
        </w:trPr>
        <w:tc>
          <w:tcPr>
            <w:tcW w:type="dxa" w:w="481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2F6FA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sz w:val="19"/>
              </w:rPr>
              <w:t>固定合成人數</w:t>
            </w:r>
          </w:p>
        </w:tc>
        <w:tc>
          <w:tcPr>
            <w:tcW w:type="dxa" w:w="481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2F6FA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sz w:val="19"/>
              </w:rPr>
              <w:t>8 人（P01–P08）</w:t>
            </w:r>
          </w:p>
        </w:tc>
      </w:tr>
      <w:tr>
        <w:trPr>
          <w:cantSplit/>
        </w:trPr>
        <w:tc>
          <w:tcPr>
            <w:tcW w:type="dxa" w:w="481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sz w:val="19"/>
              </w:rPr>
              <w:t>人週分母</w:t>
            </w:r>
          </w:p>
        </w:tc>
        <w:tc>
          <w:tcPr>
            <w:tcW w:type="dxa" w:w="481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sz w:val="19"/>
              </w:rPr>
              <w:t>104（每期）</w:t>
            </w:r>
          </w:p>
        </w:tc>
      </w:tr>
      <w:tr>
        <w:trPr>
          <w:cantSplit/>
        </w:trPr>
        <w:tc>
          <w:tcPr>
            <w:tcW w:type="dxa" w:w="481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2F6FA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sz w:val="19"/>
              </w:rPr>
              <w:t>基準期：活躍週/有效互動/活躍成員</w:t>
            </w:r>
          </w:p>
        </w:tc>
        <w:tc>
          <w:tcPr>
            <w:tcW w:type="dxa" w:w="481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2F6FA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sz w:val="19"/>
              </w:rPr>
              <w:t>13 / 18 / 5</w:t>
            </w:r>
          </w:p>
        </w:tc>
      </w:tr>
      <w:tr>
        <w:trPr>
          <w:cantSplit/>
        </w:trPr>
        <w:tc>
          <w:tcPr>
            <w:tcW w:type="dxa" w:w="481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sz w:val="19"/>
              </w:rPr>
              <w:t>示範期：活躍週/有效互動/活躍成員</w:t>
            </w:r>
          </w:p>
        </w:tc>
        <w:tc>
          <w:tcPr>
            <w:tcW w:type="dxa" w:w="481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sz w:val="19"/>
              </w:rPr>
              <w:t>47 / 67 / 7</w:t>
            </w:r>
          </w:p>
        </w:tc>
      </w:tr>
      <w:tr>
        <w:trPr>
          <w:cantSplit/>
        </w:trPr>
        <w:tc>
          <w:tcPr>
            <w:tcW w:type="dxa" w:w="481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2F6FA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sz w:val="19"/>
              </w:rPr>
              <w:t>有效互動規則</w:t>
            </w:r>
          </w:p>
        </w:tc>
        <w:tc>
          <w:tcPr>
            <w:tcW w:type="dxa" w:w="481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2F6FA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sz w:val="19"/>
              </w:rPr>
              <w:t>新主題或實質回覆；排除登入、瀏覽、按讚、機器、測試、重複</w:t>
            </w:r>
          </w:p>
        </w:tc>
      </w:tr>
      <w:tr>
        <w:trPr>
          <w:cantSplit/>
        </w:trPr>
        <w:tc>
          <w:tcPr>
            <w:tcW w:type="dxa" w:w="481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sz w:val="19"/>
              </w:rPr>
              <w:t>分布（0 / 1–5 / ≥6）</w:t>
            </w:r>
          </w:p>
        </w:tc>
        <w:tc>
          <w:tcPr>
            <w:tcW w:type="dxa" w:w="481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sz w:val="19"/>
              </w:rPr>
              <w:t>基準 3 / 5 / 0；示範 1 / 2 / 5</w:t>
            </w:r>
          </w:p>
        </w:tc>
      </w:tr>
      <w:tr>
        <w:trPr>
          <w:cantSplit/>
        </w:trPr>
        <w:tc>
          <w:tcPr>
            <w:tcW w:type="dxa" w:w="481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2F6FA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sz w:val="19"/>
              </w:rPr>
              <w:t>示範期活躍週中位數</w:t>
            </w:r>
          </w:p>
        </w:tc>
        <w:tc>
          <w:tcPr>
            <w:tcW w:type="dxa" w:w="481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2F6FA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sz w:val="19"/>
              </w:rPr>
              <w:t>7</w:t>
            </w:r>
          </w:p>
        </w:tc>
      </w:tr>
      <w:tr>
        <w:trPr>
          <w:cantSplit/>
        </w:trPr>
        <w:tc>
          <w:tcPr>
            <w:tcW w:type="dxa" w:w="481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sz w:val="19"/>
              </w:rPr>
              <w:t>佐證參考例</w:t>
            </w:r>
          </w:p>
        </w:tc>
        <w:tc>
          <w:tcPr>
            <w:tcW w:type="dxa" w:w="481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sz w:val="19"/>
              </w:rPr>
              <w:t>官方資料表第 7 頁「社群網站知識討論區，人員使用網站頻率高」（僅參考，非分數）</w:t>
            </w:r>
          </w:p>
        </w:tc>
      </w:tr>
      <w:tr>
        <w:trPr>
          <w:cantSplit/>
        </w:trPr>
        <w:tc>
          <w:tcPr>
            <w:tcW w:type="dxa" w:w="481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2F6FA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sz w:val="19"/>
              </w:rPr>
              <w:t>內部索引</w:t>
            </w:r>
          </w:p>
        </w:tc>
        <w:tc>
          <w:tcPr>
            <w:tcW w:type="dxa" w:w="481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2F6FA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sz w:val="19"/>
              </w:rPr>
              <w:t>157 內部索引 118（非官方方框流水號）</w:t>
            </w:r>
          </w:p>
        </w:tc>
      </w:tr>
      <w:tr>
        <w:trPr>
          <w:cantSplit/>
        </w:trPr>
        <w:tc>
          <w:tcPr>
            <w:tcW w:type="dxa" w:w="481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sz w:val="19"/>
              </w:rPr>
              <w:t>官方分數</w:t>
            </w:r>
          </w:p>
        </w:tc>
        <w:tc>
          <w:tcPr>
            <w:tcW w:type="dxa" w:w="481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sz w:val="19"/>
              </w:rPr>
              <w:t>未評定</w:t>
            </w:r>
          </w:p>
        </w:tc>
      </w:tr>
      <w:tr>
        <w:trPr>
          <w:cantSplit/>
        </w:trPr>
        <w:tc>
          <w:tcPr>
            <w:tcW w:type="dxa" w:w="481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2F6FA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sz w:val="19"/>
              </w:rPr>
              <w:t>REAL 資料</w:t>
            </w:r>
          </w:p>
        </w:tc>
        <w:tc>
          <w:tcPr>
            <w:tcW w:type="dxa" w:w="481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2F6FA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sz w:val="19"/>
              </w:rPr>
              <w:t>未提供</w:t>
            </w:r>
          </w:p>
        </w:tc>
      </w:tr>
    </w:tbl>
    <w:p>
      <w:pPr>
        <w:spacing w:after="20"/>
      </w:pPr>
    </w:p>
    <w:p>
      <w:pPr>
        <w:pStyle w:val="Heading1"/>
        <w:pageBreakBefore/>
      </w:pPr>
      <w:r>
        <w:rPr>
          <w:rFonts w:ascii="Microsoft JhengHei" w:hAnsi="Microsoft JhengHei" w:eastAsia="Microsoft JhengHei"/>
          <w:sz w:val="21"/>
        </w:rPr>
        <w:t>第 9 節　REAL 替換表與清冊、判定及最終狀態</w:t>
      </w:r>
    </w:p>
    <w:p>
      <w:pPr>
        <w:pStyle w:val="Heading2"/>
      </w:pPr>
      <w:r>
        <w:rPr>
          <w:rFonts w:ascii="Microsoft JhengHei" w:hAnsi="Microsoft JhengHei" w:eastAsia="Microsoft JhengHei"/>
          <w:sz w:val="21"/>
        </w:rPr>
        <w:t>9.1 SAMPLE→REAL 替換與來源追溯清冊</w:t>
      </w:r>
    </w:p>
    <w:p>
      <w:pPr>
        <w:spacing w:after="100" w:line="271" w:lineRule="auto"/>
      </w:pPr>
      <w:r>
        <w:rPr>
          <w:rFonts w:ascii="Microsoft JhengHei" w:hAnsi="Microsoft JhengHei" w:eastAsia="Microsoft JhengHei"/>
          <w:sz w:val="21"/>
        </w:rPr>
        <w:t>本清冊逐項指出正文中的合成值、未來需要的真實來源、取得前置、資料保護、複核與目前狀態。表內角色均為建議；在協會未實際指派及確認權限前，不得接觸真實個人資料。所有真實資料項目均須先通過第 3 節 G0–G5；公開版不得含原始日誌、帳號對照、IP 或回覆原文。</w:t>
      </w:r>
    </w:p>
    <w:p>
      <w:pPr>
        <w:pStyle w:val="Heading3"/>
      </w:pPr>
      <w:r>
        <w:rPr>
          <w:rFonts w:ascii="Microsoft JhengHei" w:hAnsi="Microsoft JhengHei" w:eastAsia="Microsoft JhengHei"/>
          <w:sz w:val="21"/>
        </w:rPr>
        <w:t>9.1.1 固定官方來源（不屬於 SAMPLE 替換）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rPr>
          <w:tblHeader w:val="true"/>
          <w:cantSplit/>
        </w:trPr>
        <w:tc>
          <w:tcPr>
            <w:tcW w:type="dxa" w:w="240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17365D"/>
          </w:tcPr>
          <w:p>
            <w:pPr>
              <w:spacing w:after="0" w:line="240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代號與正文位置</w:t>
            </w:r>
          </w:p>
        </w:tc>
        <w:tc>
          <w:tcPr>
            <w:tcW w:type="dxa" w:w="240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17365D"/>
          </w:tcPr>
          <w:p>
            <w:pPr>
              <w:spacing w:after="0" w:line="240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固定來源／目前內容</w:t>
            </w:r>
          </w:p>
        </w:tc>
        <w:tc>
          <w:tcPr>
            <w:tcW w:type="dxa" w:w="240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17365D"/>
          </w:tcPr>
          <w:p>
            <w:pPr>
              <w:spacing w:after="0" w:line="240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是否替換</w:t>
            </w:r>
          </w:p>
        </w:tc>
        <w:tc>
          <w:tcPr>
            <w:tcW w:type="dxa" w:w="240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17365D"/>
          </w:tcPr>
          <w:p>
            <w:pPr>
              <w:spacing w:after="0" w:line="240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狀態</w:t>
            </w:r>
          </w:p>
        </w:tc>
      </w:tr>
      <w:tr>
        <w:trPr>
          <w:cantSplit/>
        </w:trPr>
        <w:tc>
          <w:tcPr>
            <w:tcW w:type="dxa" w:w="240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sz w:val="19"/>
              </w:rPr>
              <w:t>O-01，第 2 節官方來源表</w:t>
            </w:r>
          </w:p>
        </w:tc>
        <w:tc>
          <w:tcPr>
            <w:tcW w:type="dxa" w:w="240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sz w:val="19"/>
              </w:rPr>
              <w:t>官方資料表第 7 頁 I18 參考例「社群網站知識討論區，人員使用網站頻率高。」</w:t>
            </w:r>
          </w:p>
        </w:tc>
        <w:tc>
          <w:tcPr>
            <w:tcW w:type="dxa" w:w="240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sz w:val="19"/>
              </w:rPr>
              <w:t>不替換</w:t>
            </w:r>
          </w:p>
        </w:tc>
        <w:tc>
          <w:tcPr>
            <w:tcW w:type="dxa" w:w="240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sz w:val="19"/>
              </w:rPr>
              <w:t>固定參考；不是分數或協會實績</w:t>
            </w:r>
          </w:p>
        </w:tc>
      </w:tr>
      <w:tr>
        <w:trPr>
          <w:cantSplit/>
        </w:trPr>
        <w:tc>
          <w:tcPr>
            <w:tcW w:type="dxa" w:w="240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2F6FA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sz w:val="19"/>
              </w:rPr>
              <w:t>O-02，第 2 節官方來源表</w:t>
            </w:r>
          </w:p>
        </w:tc>
        <w:tc>
          <w:tcPr>
            <w:tcW w:type="dxa" w:w="240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2F6FA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sz w:val="19"/>
              </w:rPr>
              <w:t>專案正式對照 I18-E17 → doc_id 0109</w:t>
            </w:r>
          </w:p>
        </w:tc>
        <w:tc>
          <w:tcPr>
            <w:tcW w:type="dxa" w:w="240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2F6FA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sz w:val="19"/>
              </w:rPr>
              <w:t>不替換</w:t>
            </w:r>
          </w:p>
        </w:tc>
        <w:tc>
          <w:tcPr>
            <w:tcW w:type="dxa" w:w="240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2F6FA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sz w:val="19"/>
              </w:rPr>
              <w:t>固定對照；不表示協會已採用</w:t>
            </w:r>
          </w:p>
        </w:tc>
      </w:tr>
      <w:tr>
        <w:trPr>
          <w:cantSplit/>
        </w:trPr>
        <w:tc>
          <w:tcPr>
            <w:tcW w:type="dxa" w:w="240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sz w:val="19"/>
              </w:rPr>
              <w:t>O-05，第 2.1–2.2 節負向近鄰對照</w:t>
            </w:r>
          </w:p>
        </w:tc>
        <w:tc>
          <w:tcPr>
            <w:tcW w:type="dxa" w:w="240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sz w:val="19"/>
              </w:rPr>
              <w:t>專案正式對照 I18-E08 → doc_id 0100、0101</w:t>
            </w:r>
          </w:p>
        </w:tc>
        <w:tc>
          <w:tcPr>
            <w:tcW w:type="dxa" w:w="240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sz w:val="19"/>
              </w:rPr>
              <w:t>不替換</w:t>
            </w:r>
          </w:p>
        </w:tc>
        <w:tc>
          <w:tcPr>
            <w:tcW w:type="dxa" w:w="240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sz w:val="19"/>
              </w:rPr>
              <w:t>只驗證與本件不同文類；不作本件資料或協會使用證明</w:t>
            </w:r>
          </w:p>
        </w:tc>
      </w:tr>
      <w:tr>
        <w:trPr>
          <w:cantSplit/>
        </w:trPr>
        <w:tc>
          <w:tcPr>
            <w:tcW w:type="dxa" w:w="240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2F6FA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sz w:val="19"/>
              </w:rPr>
              <w:t>O-03，第 1、2、8 節</w:t>
            </w:r>
          </w:p>
        </w:tc>
        <w:tc>
          <w:tcPr>
            <w:tcW w:type="dxa" w:w="240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2F6FA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sz w:val="19"/>
              </w:rPr>
              <w:t>157 專案索引 118</w:t>
            </w:r>
          </w:p>
        </w:tc>
        <w:tc>
          <w:tcPr>
            <w:tcW w:type="dxa" w:w="240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2F6FA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sz w:val="19"/>
              </w:rPr>
              <w:t>不替換</w:t>
            </w:r>
          </w:p>
        </w:tc>
        <w:tc>
          <w:tcPr>
            <w:tcW w:type="dxa" w:w="240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2F6FA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sz w:val="19"/>
              </w:rPr>
              <w:t>僅供內部導覽，不是官方流水號</w:t>
            </w:r>
          </w:p>
        </w:tc>
      </w:tr>
      <w:tr>
        <w:trPr>
          <w:cantSplit/>
        </w:trPr>
        <w:tc>
          <w:tcPr>
            <w:tcW w:type="dxa" w:w="240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sz w:val="19"/>
              </w:rPr>
              <w:t>O-04，第 1 節文件控制</w:t>
            </w:r>
          </w:p>
        </w:tc>
        <w:tc>
          <w:tcPr>
            <w:tcW w:type="dxa" w:w="240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sz w:val="19"/>
              </w:rPr>
              <w:t>官方方框流水號 UNKNOWN</w:t>
            </w:r>
          </w:p>
        </w:tc>
        <w:tc>
          <w:tcPr>
            <w:tcW w:type="dxa" w:w="240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sz w:val="19"/>
              </w:rPr>
              <w:t>不填造</w:t>
            </w:r>
          </w:p>
        </w:tc>
        <w:tc>
          <w:tcPr>
            <w:tcW w:type="dxa" w:w="240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sz w:val="19"/>
              </w:rPr>
              <w:t>維持 UNKNOWN</w:t>
            </w:r>
          </w:p>
        </w:tc>
      </w:tr>
    </w:tbl>
    <w:p>
      <w:pPr>
        <w:spacing w:after="20"/>
      </w:pPr>
    </w:p>
    <w:p>
      <w:pPr>
        <w:pStyle w:val="Heading3"/>
      </w:pPr>
      <w:r>
        <w:rPr>
          <w:rFonts w:ascii="Microsoft JhengHei" w:hAnsi="Microsoft JhengHei" w:eastAsia="Microsoft JhengHei"/>
          <w:sz w:val="21"/>
        </w:rPr>
        <w:t>9.1.2 真實資料替換表</w:t>
      </w:r>
    </w:p>
    <w:p>
      <w:pPr>
        <w:spacing w:after="100" w:line="271" w:lineRule="auto"/>
      </w:pPr>
      <w:r>
        <w:rPr>
          <w:rFonts w:ascii="Microsoft JhengHei" w:hAnsi="Microsoft JhengHei" w:eastAsia="Microsoft JhengHei"/>
          <w:sz w:val="21"/>
        </w:rPr>
        <w:t>每一項 REAL 替換均需由獲授權的資料保管角色在受控位置取得；同一列所述的複核須在發布前完成。原始可識別檔案及對照鍵不放公開 GitHub 或共用資料夾。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rPr>
          <w:tblHeader w:val="true"/>
          <w:cantSplit/>
        </w:trPr>
        <w:tc>
          <w:tcPr>
            <w:tcW w:type="dxa" w:w="192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17365D"/>
          </w:tcPr>
          <w:p>
            <w:pPr>
              <w:spacing w:after="0" w:line="240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正文位置與目前 SAMPLE／UNKNOWN 值</w:t>
            </w:r>
          </w:p>
        </w:tc>
        <w:tc>
          <w:tcPr>
            <w:tcW w:type="dxa" w:w="192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17365D"/>
          </w:tcPr>
          <w:p>
            <w:pPr>
              <w:spacing w:after="0" w:line="240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REAL 所需來源</w:t>
            </w:r>
          </w:p>
        </w:tc>
        <w:tc>
          <w:tcPr>
            <w:tcW w:type="dxa" w:w="192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17365D"/>
          </w:tcPr>
          <w:p>
            <w:pPr>
              <w:spacing w:after="0" w:line="240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REAL 合法處理依據</w:t>
            </w:r>
          </w:p>
        </w:tc>
        <w:tc>
          <w:tcPr>
            <w:tcW w:type="dxa" w:w="192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17365D"/>
          </w:tcPr>
          <w:p>
            <w:pPr>
              <w:spacing w:after="0" w:line="240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遮罩與保管方式</w:t>
            </w:r>
          </w:p>
        </w:tc>
        <w:tc>
          <w:tcPr>
            <w:tcW w:type="dxa" w:w="192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17365D"/>
          </w:tcPr>
          <w:p>
            <w:pPr>
              <w:spacing w:after="0" w:line="240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獨立複核與目前狀態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sz w:val="19"/>
              </w:rPr>
              <w:t>第 1、4.1、8 節：兩個 13 週期間，2026-03-30～2026-06-28 及 2026-06-29～2026-09-27；週一至週日，Asia/Taipei</w:t>
            </w:r>
          </w:p>
        </w:tc>
        <w:tc>
          <w:tcPr>
            <w:tcW w:type="dxa" w:w="192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sz w:val="19"/>
              </w:rPr>
              <w:t>經確認的平台時間設定與可追溯的真實觀察起訖</w:t>
            </w:r>
          </w:p>
        </w:tc>
        <w:tc>
          <w:tcPr>
            <w:tcW w:type="dxa" w:w="192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sz w:val="19"/>
              </w:rPr>
              <w:t>REAL替換前由本會有權者依G2確認目的、來源、權限及必要告知／同意；未確認為UNKNOWN／HOLD。</w:t>
            </w:r>
          </w:p>
        </w:tc>
        <w:tc>
          <w:tcPr>
            <w:tcW w:type="dxa" w:w="192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sz w:val="19"/>
              </w:rPr>
              <w:t>G0–G5 通過後才取得；報告只留日期及時區，資料保管角色待指派</w:t>
            </w:r>
          </w:p>
        </w:tc>
        <w:tc>
          <w:tcPr>
            <w:tcW w:type="dxa" w:w="192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sz w:val="19"/>
              </w:rPr>
              <w:t>第二人重算天數、週數與週界；REAL=UNKNOWN／HOLD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2F6FA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sz w:val="19"/>
              </w:rPr>
              <w:t>第 1、4.2、4.4 節：固定 SAMPLE 8 人 P01–P08；每期分母 104 人週</w:t>
            </w:r>
          </w:p>
        </w:tc>
        <w:tc>
          <w:tcPr>
            <w:tcW w:type="dxa" w:w="192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2F6FA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sz w:val="19"/>
              </w:rPr>
              <w:t>有權限的會員名冊、平台資格及期間異動紀錄</w:t>
            </w:r>
          </w:p>
        </w:tc>
        <w:tc>
          <w:tcPr>
            <w:tcW w:type="dxa" w:w="192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2F6FA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sz w:val="19"/>
              </w:rPr>
              <w:t>REAL替換前由本會有權者依G2確認目的、來源、權限及必要告知／同意；未確認為UNKNOWN／HOLD。</w:t>
            </w:r>
          </w:p>
        </w:tc>
        <w:tc>
          <w:tcPr>
            <w:tcW w:type="dxa" w:w="192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2F6FA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sz w:val="19"/>
              </w:rPr>
              <w:t>先核實處理依據；以假名代碼取代身分，對照只留受控區</w:t>
            </w:r>
          </w:p>
        </w:tc>
        <w:tc>
          <w:tcPr>
            <w:tcW w:type="dxa" w:w="192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2F6FA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sz w:val="19"/>
              </w:rPr>
              <w:t>第二人核對資格、異動、零活動與分母；REAL=UNKNOWN／HOLD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sz w:val="19"/>
              </w:rPr>
              <w:t>第 4.4 節 P01：2／3／8／12（活躍週／有效互動）</w:t>
            </w:r>
          </w:p>
        </w:tc>
        <w:tc>
          <w:tcPr>
            <w:tcW w:type="dxa" w:w="192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sz w:val="19"/>
              </w:rPr>
              <w:t>授權期間內的名冊資格及事件彙總來源</w:t>
            </w:r>
          </w:p>
        </w:tc>
        <w:tc>
          <w:tcPr>
            <w:tcW w:type="dxa" w:w="192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sz w:val="19"/>
              </w:rPr>
              <w:t>REAL替換前由本會有權者依G2確認目的、來源、權限及必要告知／同意；未確認為UNKNOWN／HOLD。</w:t>
            </w:r>
          </w:p>
        </w:tc>
        <w:tc>
          <w:tcPr>
            <w:tcW w:type="dxa" w:w="192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sz w:val="19"/>
              </w:rPr>
              <w:t>不在公開報告呈現真實身分；保管角色待指派</w:t>
            </w:r>
          </w:p>
        </w:tc>
        <w:tc>
          <w:tcPr>
            <w:tcW w:type="dxa" w:w="192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sz w:val="19"/>
              </w:rPr>
              <w:t>第二人重算四個欄值；SAMPLE固定，REAL=UNKNOWN／HOLD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2F6FA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sz w:val="19"/>
              </w:rPr>
              <w:t>第 4.4 節 P02：0／0／7／10</w:t>
            </w:r>
          </w:p>
        </w:tc>
        <w:tc>
          <w:tcPr>
            <w:tcW w:type="dxa" w:w="192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2F6FA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sz w:val="19"/>
              </w:rPr>
              <w:t>同上</w:t>
            </w:r>
          </w:p>
        </w:tc>
        <w:tc>
          <w:tcPr>
            <w:tcW w:type="dxa" w:w="192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2F6FA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sz w:val="19"/>
              </w:rPr>
              <w:t>REAL替換前由本會有權者依G2確認目的、來源、權限及必要告知／同意；未確認為UNKNOWN／HOLD。</w:t>
            </w:r>
          </w:p>
        </w:tc>
        <w:tc>
          <w:tcPr>
            <w:tcW w:type="dxa" w:w="192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2F6FA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sz w:val="19"/>
              </w:rPr>
              <w:t>同上；零活動不得被默默剔除</w:t>
            </w:r>
          </w:p>
        </w:tc>
        <w:tc>
          <w:tcPr>
            <w:tcW w:type="dxa" w:w="192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2F6FA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sz w:val="19"/>
              </w:rPr>
              <w:t>同上；SAMPLE固定，REAL=UNKNOWN／HOLD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sz w:val="19"/>
              </w:rPr>
              <w:t>第 4.4 節 P03：5／7／9／15</w:t>
            </w:r>
          </w:p>
        </w:tc>
        <w:tc>
          <w:tcPr>
            <w:tcW w:type="dxa" w:w="192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sz w:val="19"/>
              </w:rPr>
              <w:t>同上</w:t>
            </w:r>
          </w:p>
        </w:tc>
        <w:tc>
          <w:tcPr>
            <w:tcW w:type="dxa" w:w="192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sz w:val="19"/>
              </w:rPr>
              <w:t>REAL替換前由本會有權者依G2確認目的、來源、權限及必要告知／同意；未確認為UNKNOWN／HOLD。</w:t>
            </w:r>
          </w:p>
        </w:tc>
        <w:tc>
          <w:tcPr>
            <w:tcW w:type="dxa" w:w="192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sz w:val="19"/>
              </w:rPr>
              <w:t>同上</w:t>
            </w:r>
          </w:p>
        </w:tc>
        <w:tc>
          <w:tcPr>
            <w:tcW w:type="dxa" w:w="192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sz w:val="19"/>
              </w:rPr>
              <w:t>同上；SAMPLE固定，REAL=UNKNOWN／HOLD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2F6FA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sz w:val="19"/>
              </w:rPr>
              <w:t>第 4.4 節 P04：1／1／6／8</w:t>
            </w:r>
          </w:p>
        </w:tc>
        <w:tc>
          <w:tcPr>
            <w:tcW w:type="dxa" w:w="192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2F6FA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sz w:val="19"/>
              </w:rPr>
              <w:t>同上</w:t>
            </w:r>
          </w:p>
        </w:tc>
        <w:tc>
          <w:tcPr>
            <w:tcW w:type="dxa" w:w="192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2F6FA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sz w:val="19"/>
              </w:rPr>
              <w:t>REAL替換前由本會有權者依G2確認目的、來源、權限及必要告知／同意；未確認為UNKNOWN／HOLD。</w:t>
            </w:r>
          </w:p>
        </w:tc>
        <w:tc>
          <w:tcPr>
            <w:tcW w:type="dxa" w:w="192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2F6FA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sz w:val="19"/>
              </w:rPr>
              <w:t>同上</w:t>
            </w:r>
          </w:p>
        </w:tc>
        <w:tc>
          <w:tcPr>
            <w:tcW w:type="dxa" w:w="192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2F6FA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sz w:val="19"/>
              </w:rPr>
              <w:t>同上；SAMPLE固定，REAL=UNKNOWN／HOLD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sz w:val="19"/>
              </w:rPr>
              <w:t>第 4.4 節 P05：0／0／5／6</w:t>
            </w:r>
          </w:p>
        </w:tc>
        <w:tc>
          <w:tcPr>
            <w:tcW w:type="dxa" w:w="192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sz w:val="19"/>
              </w:rPr>
              <w:t>同上</w:t>
            </w:r>
          </w:p>
        </w:tc>
        <w:tc>
          <w:tcPr>
            <w:tcW w:type="dxa" w:w="192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sz w:val="19"/>
              </w:rPr>
              <w:t>REAL替換前由本會有權者依G2確認目的、來源、權限及必要告知／同意；未確認為UNKNOWN／HOLD。</w:t>
            </w:r>
          </w:p>
        </w:tc>
        <w:tc>
          <w:tcPr>
            <w:tcW w:type="dxa" w:w="192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sz w:val="19"/>
              </w:rPr>
              <w:t>同上；零活動不得被默默剔除</w:t>
            </w:r>
          </w:p>
        </w:tc>
        <w:tc>
          <w:tcPr>
            <w:tcW w:type="dxa" w:w="192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sz w:val="19"/>
              </w:rPr>
              <w:t>同上；SAMPLE固定，REAL=UNKNOWN／HOLD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2F6FA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sz w:val="19"/>
              </w:rPr>
              <w:t>第 4.4 節 P06：4／5／8／11</w:t>
            </w:r>
          </w:p>
        </w:tc>
        <w:tc>
          <w:tcPr>
            <w:tcW w:type="dxa" w:w="192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2F6FA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sz w:val="19"/>
              </w:rPr>
              <w:t>同上</w:t>
            </w:r>
          </w:p>
        </w:tc>
        <w:tc>
          <w:tcPr>
            <w:tcW w:type="dxa" w:w="192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2F6FA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sz w:val="19"/>
              </w:rPr>
              <w:t>REAL替換前由本會有權者依G2確認目的、來源、權限及必要告知／同意；未確認為UNKNOWN／HOLD。</w:t>
            </w:r>
          </w:p>
        </w:tc>
        <w:tc>
          <w:tcPr>
            <w:tcW w:type="dxa" w:w="192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2F6FA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sz w:val="19"/>
              </w:rPr>
              <w:t>同上</w:t>
            </w:r>
          </w:p>
        </w:tc>
        <w:tc>
          <w:tcPr>
            <w:tcW w:type="dxa" w:w="192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2F6FA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sz w:val="19"/>
              </w:rPr>
              <w:t>同上；SAMPLE固定，REAL=UNKNOWN／HOLD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sz w:val="19"/>
              </w:rPr>
              <w:t>第 4.4 節 P07：0／0／4／5</w:t>
            </w:r>
          </w:p>
        </w:tc>
        <w:tc>
          <w:tcPr>
            <w:tcW w:type="dxa" w:w="192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sz w:val="19"/>
              </w:rPr>
              <w:t>同上</w:t>
            </w:r>
          </w:p>
        </w:tc>
        <w:tc>
          <w:tcPr>
            <w:tcW w:type="dxa" w:w="192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sz w:val="19"/>
              </w:rPr>
              <w:t>REAL替換前由本會有權者依G2確認目的、來源、權限及必要告知／同意；未確認為UNKNOWN／HOLD。</w:t>
            </w:r>
          </w:p>
        </w:tc>
        <w:tc>
          <w:tcPr>
            <w:tcW w:type="dxa" w:w="192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sz w:val="19"/>
              </w:rPr>
              <w:t>同上；零活動不得被默默剔除</w:t>
            </w:r>
          </w:p>
        </w:tc>
        <w:tc>
          <w:tcPr>
            <w:tcW w:type="dxa" w:w="192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sz w:val="19"/>
              </w:rPr>
              <w:t>同上；SAMPLE固定，REAL=UNKNOWN／HOLD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2F6FA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sz w:val="19"/>
              </w:rPr>
              <w:t>第 4.4 節 P08：1／2／0／0</w:t>
            </w:r>
          </w:p>
        </w:tc>
        <w:tc>
          <w:tcPr>
            <w:tcW w:type="dxa" w:w="192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2F6FA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sz w:val="19"/>
              </w:rPr>
              <w:t>同上</w:t>
            </w:r>
          </w:p>
        </w:tc>
        <w:tc>
          <w:tcPr>
            <w:tcW w:type="dxa" w:w="192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2F6FA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sz w:val="19"/>
              </w:rPr>
              <w:t>REAL替換前由本會有權者依G2確認目的、來源、權限及必要告知／同意；未確認為UNKNOWN／HOLD。</w:t>
            </w:r>
          </w:p>
        </w:tc>
        <w:tc>
          <w:tcPr>
            <w:tcW w:type="dxa" w:w="192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2F6FA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sz w:val="19"/>
              </w:rPr>
              <w:t>同上；示範期零活動仍保留在固定分母</w:t>
            </w:r>
          </w:p>
        </w:tc>
        <w:tc>
          <w:tcPr>
            <w:tcW w:type="dxa" w:w="192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2F6FA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sz w:val="19"/>
              </w:rPr>
              <w:t>同上；SAMPLE固定，REAL=UNKNOWN／HOLD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sz w:val="19"/>
              </w:rPr>
              <w:t>第 3.3、4.3、5.4 節：合格事件定義、排除類型及去重規則；本案例未提供逐筆事件日誌或排除筆數</w:t>
            </w:r>
          </w:p>
        </w:tc>
        <w:tc>
          <w:tcPr>
            <w:tcW w:type="dxa" w:w="192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sz w:val="19"/>
              </w:rPr>
              <w:t>具授權的事件來源、事件類型、去重前後計數及排除理由</w:t>
            </w:r>
          </w:p>
        </w:tc>
        <w:tc>
          <w:tcPr>
            <w:tcW w:type="dxa" w:w="192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sz w:val="19"/>
              </w:rPr>
              <w:t>REAL替換前由本會有權者依G2確認目的、來源、權限及必要告知／同意；未確認為UNKNOWN／HOLD。</w:t>
            </w:r>
          </w:p>
        </w:tc>
        <w:tc>
          <w:tcPr>
            <w:tcW w:type="dxa" w:w="192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sz w:val="19"/>
              </w:rPr>
              <w:t>G0–G5 通過後，在受控區分類；公開版只留代碼及安全彙總，不留回覆文字或可識別鍵</w:t>
            </w:r>
          </w:p>
        </w:tc>
        <w:tc>
          <w:tcPr>
            <w:tcW w:type="dxa" w:w="192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sz w:val="19"/>
              </w:rPr>
              <w:t>第二人重算納入、排除及去重數；目前不能宣稱樣本已做逐筆去重，REAL=UNKNOWN／HOLD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2F6FA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sz w:val="19"/>
              </w:rPr>
              <w:t>第 5.1 節：人週分母 104／104；活躍成員 5／8、7／8；活躍成員率 62.5%、87.5%、差 +25.0 個百分點</w:t>
            </w:r>
          </w:p>
        </w:tc>
        <w:tc>
          <w:tcPr>
            <w:tcW w:type="dxa" w:w="192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2F6FA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sz w:val="19"/>
              </w:rPr>
              <w:t>已凍結名冊、期間及符合資格的活動彙總</w:t>
            </w:r>
          </w:p>
        </w:tc>
        <w:tc>
          <w:tcPr>
            <w:tcW w:type="dxa" w:w="192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2F6FA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sz w:val="19"/>
              </w:rPr>
              <w:t>REAL替換前由本會有權者依G2確認目的、來源、權限及必要告知／同意；未確認為UNKNOWN／HOLD。</w:t>
            </w:r>
          </w:p>
        </w:tc>
        <w:tc>
          <w:tcPr>
            <w:tcW w:type="dxa" w:w="192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2F6FA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sz w:val="19"/>
              </w:rPr>
              <w:t>權限確認後只輸出匿名分子／分母；資料保管角色待指派</w:t>
            </w:r>
          </w:p>
        </w:tc>
        <w:tc>
          <w:tcPr>
            <w:tcW w:type="dxa" w:w="192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2F6FA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sz w:val="19"/>
              </w:rPr>
              <w:t>第二人由逐筆彙總重算；SAMPLE算術可重算，REAL=UNKNOWN／HOLD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sz w:val="19"/>
              </w:rPr>
              <w:t>第 5.1 節：活躍人週 13／104＝12.5%、47／104＝45.2%，人週數差 +34；比例差 +32.7 個百分點</w:t>
            </w:r>
          </w:p>
        </w:tc>
        <w:tc>
          <w:tcPr>
            <w:tcW w:type="dxa" w:w="192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sz w:val="19"/>
              </w:rPr>
              <w:t>成員週彙總及已核實分母</w:t>
            </w:r>
          </w:p>
        </w:tc>
        <w:tc>
          <w:tcPr>
            <w:tcW w:type="dxa" w:w="192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sz w:val="19"/>
              </w:rPr>
              <w:t>REAL替換前由本會有權者依G2確認目的、來源、權限及必要告知／同意；未確認為UNKNOWN／HOLD。</w:t>
            </w:r>
          </w:p>
        </w:tc>
        <w:tc>
          <w:tcPr>
            <w:tcW w:type="dxa" w:w="192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sz w:val="19"/>
              </w:rPr>
              <w:t>只留安全聚合；小群體風險須先處理</w:t>
            </w:r>
          </w:p>
        </w:tc>
        <w:tc>
          <w:tcPr>
            <w:tcW w:type="dxa" w:w="192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sz w:val="19"/>
              </w:rPr>
              <w:t>第二人重算兩期比率及百分點；SAMPLE固定，REAL=UNKNOWN／HOLD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2F6FA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sz w:val="19"/>
              </w:rPr>
              <w:t>第 5.1 節：示範持續使用率（≥6 活躍週）0／8＝0.0%→5／8＝62.5%，差 +62.5 個百分點</w:t>
            </w:r>
          </w:p>
        </w:tc>
        <w:tc>
          <w:tcPr>
            <w:tcW w:type="dxa" w:w="192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2F6FA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sz w:val="19"/>
              </w:rPr>
              <w:t>真實成員 13 週活躍週彙總；門檻須由有權者另行確認</w:t>
            </w:r>
          </w:p>
        </w:tc>
        <w:tc>
          <w:tcPr>
            <w:tcW w:type="dxa" w:w="192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2F6FA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sz w:val="19"/>
              </w:rPr>
              <w:t>REAL替換前由本會有權者依G2確認目的、來源、權限及必要告知／同意；未確認為UNKNOWN／HOLD。</w:t>
            </w:r>
          </w:p>
        </w:tc>
        <w:tc>
          <w:tcPr>
            <w:tcW w:type="dxa" w:w="192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2F6FA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sz w:val="19"/>
              </w:rPr>
              <w:t>只留安全聚合；小群體風險先處理</w:t>
            </w:r>
          </w:p>
        </w:tc>
        <w:tc>
          <w:tcPr>
            <w:tcW w:type="dxa" w:w="192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2F6FA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sz w:val="19"/>
              </w:rPr>
              <w:t>第二人重算分子、分母及差值；SAMPLE門檻不是官方要求，REAL=UNKNOWN／HOLD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sz w:val="19"/>
              </w:rPr>
              <w:t>第 5.1 節：有效互動 18→67、增加 49、3.72 倍</w:t>
            </w:r>
          </w:p>
        </w:tc>
        <w:tc>
          <w:tcPr>
            <w:tcW w:type="dxa" w:w="192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sz w:val="19"/>
              </w:rPr>
              <w:t>按核定事件規則分類後的合格互動彙總</w:t>
            </w:r>
          </w:p>
        </w:tc>
        <w:tc>
          <w:tcPr>
            <w:tcW w:type="dxa" w:w="192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sz w:val="19"/>
              </w:rPr>
              <w:t>REAL替換前由本會有權者依G2確認目的、來源、權限及必要告知／同意；未確認為UNKNOWN／HOLD。</w:t>
            </w:r>
          </w:p>
        </w:tc>
        <w:tc>
          <w:tcPr>
            <w:tcW w:type="dxa" w:w="192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sz w:val="19"/>
              </w:rPr>
              <w:t>不攜出訊息內容；只留安全總數</w:t>
            </w:r>
          </w:p>
        </w:tc>
        <w:tc>
          <w:tcPr>
            <w:tcW w:type="dxa" w:w="192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sz w:val="19"/>
              </w:rPr>
              <w:t>第二人重算總數、差值及倍數；SAMPLE固定，REAL=UNKNOWN／HOLD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2F6FA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sz w:val="19"/>
              </w:rPr>
              <w:t>第 5.1 節：每活躍成員 3.60→9.57、差 +5.97</w:t>
            </w:r>
          </w:p>
        </w:tc>
        <w:tc>
          <w:tcPr>
            <w:tcW w:type="dxa" w:w="192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2F6FA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sz w:val="19"/>
              </w:rPr>
              <w:t>合格互動數與各期活躍成員數</w:t>
            </w:r>
          </w:p>
        </w:tc>
        <w:tc>
          <w:tcPr>
            <w:tcW w:type="dxa" w:w="192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2F6FA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sz w:val="19"/>
              </w:rPr>
              <w:t>REAL替換前由本會有權者依G2確認目的、來源、權限及必要告知／同意；未確認為UNKNOWN／HOLD。</w:t>
            </w:r>
          </w:p>
        </w:tc>
        <w:tc>
          <w:tcPr>
            <w:tcW w:type="dxa" w:w="192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2F6FA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sz w:val="19"/>
              </w:rPr>
              <w:t>只留匿名彙總</w:t>
            </w:r>
          </w:p>
        </w:tc>
        <w:tc>
          <w:tcPr>
            <w:tcW w:type="dxa" w:w="192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2F6FA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sz w:val="19"/>
              </w:rPr>
              <w:t>第二人用未四捨五入值重算；SAMPLE固定，REAL=UNKNOWN／HOLD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sz w:val="19"/>
              </w:rPr>
              <w:t>第 5.1、5.5 節：每活躍人週 1.384615…→1.425531…；差 +0.040916…，顯示 +0.04</w:t>
            </w:r>
          </w:p>
        </w:tc>
        <w:tc>
          <w:tcPr>
            <w:tcW w:type="dxa" w:w="192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sz w:val="19"/>
              </w:rPr>
              <w:t>合格互動數、活躍人週數及精度規則</w:t>
            </w:r>
          </w:p>
        </w:tc>
        <w:tc>
          <w:tcPr>
            <w:tcW w:type="dxa" w:w="192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sz w:val="19"/>
              </w:rPr>
              <w:t>REAL替換前由本會有權者依G2確認目的、來源、權限及必要告知／同意；未確認為UNKNOWN／HOLD。</w:t>
            </w:r>
          </w:p>
        </w:tc>
        <w:tc>
          <w:tcPr>
            <w:tcW w:type="dxa" w:w="192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sz w:val="19"/>
              </w:rPr>
              <w:t>只留匿名彙總，不以四捨五入數倒推</w:t>
            </w:r>
          </w:p>
        </w:tc>
        <w:tc>
          <w:tcPr>
            <w:tcW w:type="dxa" w:w="192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sz w:val="19"/>
              </w:rPr>
              <w:t>第二人核算未四捨五入差值；SAMPLE固定，REAL=UNKNOWN／HOLD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2F6FA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sz w:val="19"/>
              </w:rPr>
              <w:t>第 5.3 節：基準期 0／1–5／≥6 週分布 3／5／0；示範期 0／1–5／≥6 週分布 1／2／5；活躍成員週中位數 7（n=7）</w:t>
            </w:r>
          </w:p>
        </w:tc>
        <w:tc>
          <w:tcPr>
            <w:tcW w:type="dxa" w:w="192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2F6FA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sz w:val="19"/>
              </w:rPr>
              <w:t>真實成員活躍週彙總</w:t>
            </w:r>
          </w:p>
        </w:tc>
        <w:tc>
          <w:tcPr>
            <w:tcW w:type="dxa" w:w="192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2F6FA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sz w:val="19"/>
              </w:rPr>
              <w:t>REAL替換前由本會有權者依G2確認目的、來源、權限及必要告知／同意；未確認為UNKNOWN／HOLD。</w:t>
            </w:r>
          </w:p>
        </w:tc>
        <w:tc>
          <w:tcPr>
            <w:tcW w:type="dxa" w:w="192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2F6FA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sz w:val="19"/>
              </w:rPr>
              <w:t>先做小群體識別檢查；無安全規則時合併或隱去</w:t>
            </w:r>
          </w:p>
        </w:tc>
        <w:tc>
          <w:tcPr>
            <w:tcW w:type="dxa" w:w="192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2F6FA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sz w:val="19"/>
              </w:rPr>
              <w:t>第二人重算人數、排序及中位數；SAMPLE固定，REAL=UNKNOWN／HOLD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sz w:val="19"/>
              </w:rPr>
              <w:t>第 5.1、5.3、6 節：≥6 個活躍週是本案例自訂的 SAMPLE 門檻，不是官方規定</w:t>
            </w:r>
          </w:p>
        </w:tc>
        <w:tc>
          <w:tcPr>
            <w:tcW w:type="dxa" w:w="192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sz w:val="19"/>
              </w:rPr>
              <w:t>若 REAL 需採門檻，須有協會有權者的實際確認依據</w:t>
            </w:r>
          </w:p>
        </w:tc>
        <w:tc>
          <w:tcPr>
            <w:tcW w:type="dxa" w:w="192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sz w:val="19"/>
              </w:rPr>
              <w:t>REAL替換前由本會有權者依G2確認目的、來源、權限及必要告知／同意；未確認為UNKNOWN／HOLD。</w:t>
            </w:r>
          </w:p>
        </w:tc>
        <w:tc>
          <w:tcPr>
            <w:tcW w:type="dxa" w:w="192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sz w:val="19"/>
              </w:rPr>
              <w:t>不得寫成已核准政策；確認前只保留 SAMPLE 說明</w:t>
            </w:r>
          </w:p>
        </w:tc>
        <w:tc>
          <w:tcPr>
            <w:tcW w:type="dxa" w:w="192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sz w:val="19"/>
              </w:rPr>
              <w:t>第二人核對來源及用語；門檻核准狀態 UNKNOWN／HOLD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2F6FA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sz w:val="19"/>
              </w:rPr>
              <w:t>圖 1：SAMPLE／SYNTHETIC n=8 的期間比較圖及 +25.0、+32.7、+62.5 個百分點</w:t>
            </w:r>
          </w:p>
        </w:tc>
        <w:tc>
          <w:tcPr>
            <w:tcW w:type="dxa" w:w="192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2F6FA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sz w:val="19"/>
              </w:rPr>
              <w:t>由已複核的匿名彙總數據重新產生的圖表</w:t>
            </w:r>
          </w:p>
        </w:tc>
        <w:tc>
          <w:tcPr>
            <w:tcW w:type="dxa" w:w="192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2F6FA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sz w:val="19"/>
              </w:rPr>
              <w:t>REAL替換前由本會有權者依G2確認目的、來源、權限及必要告知／同意；未確認為UNKNOWN／HOLD。</w:t>
            </w:r>
          </w:p>
        </w:tc>
        <w:tc>
          <w:tcPr>
            <w:tcW w:type="dxa" w:w="192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2F6FA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sz w:val="19"/>
              </w:rPr>
              <w:t>不顯示真實個人代碼；發布前檢查小群體辨識</w:t>
            </w:r>
          </w:p>
        </w:tc>
        <w:tc>
          <w:tcPr>
            <w:tcW w:type="dxa" w:w="192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2F6FA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sz w:val="19"/>
              </w:rPr>
              <w:t>第二人核對圖與表的數值一致；圖 1 目前只代表 SAMPLE，REAL=UNKNOWN／HOLD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sz w:val="19"/>
              </w:rPr>
              <w:t>第 5.5、6 節：增量只作描述，不作因果或官方得分推論；P08 原因未知</w:t>
            </w:r>
          </w:p>
        </w:tc>
        <w:tc>
          <w:tcPr>
            <w:tcW w:type="dxa" w:w="192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sz w:val="19"/>
              </w:rPr>
              <w:t>真實資料的期間、事件及可支持結論的來源</w:t>
            </w:r>
          </w:p>
        </w:tc>
        <w:tc>
          <w:tcPr>
            <w:tcW w:type="dxa" w:w="192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sz w:val="19"/>
              </w:rPr>
              <w:t>REAL替換前由本會有權者依G2確認目的、來源、權限及必要告知／同意；未確認為UNKNOWN／HOLD。</w:t>
            </w:r>
          </w:p>
        </w:tc>
        <w:tc>
          <w:tcPr>
            <w:tcW w:type="dxa" w:w="192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sz w:val="19"/>
              </w:rPr>
              <w:t>不補造原因、績效或核准</w:t>
            </w:r>
          </w:p>
        </w:tc>
        <w:tc>
          <w:tcPr>
            <w:tcW w:type="dxa" w:w="192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sz w:val="19"/>
              </w:rPr>
              <w:t>第二人核對每項結論有來源且未超出範圍；REAL=UNKNOWN／HOLD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2F6FA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sz w:val="19"/>
              </w:rPr>
              <w:t>第 7 節 T-01～T-06：目的、授權、期間、遮罩、複核及發布均為建議流程</w:t>
            </w:r>
          </w:p>
        </w:tc>
        <w:tc>
          <w:tcPr>
            <w:tcW w:type="dxa" w:w="192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2F6FA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sz w:val="19"/>
              </w:rPr>
              <w:t>協會實際指派、核定規則及執行紀錄</w:t>
            </w:r>
          </w:p>
        </w:tc>
        <w:tc>
          <w:tcPr>
            <w:tcW w:type="dxa" w:w="192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2F6FA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sz w:val="19"/>
              </w:rPr>
              <w:t>REAL替換前由本會有權者依G2確認目的、來源、權限及必要告知／同意；未確認為UNKNOWN／HOLD。</w:t>
            </w:r>
          </w:p>
        </w:tc>
        <w:tc>
          <w:tcPr>
            <w:tcW w:type="dxa" w:w="192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2F6FA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sz w:val="19"/>
              </w:rPr>
              <w:t>未實際確認前不得改寫為已決議或已執行</w:t>
            </w:r>
          </w:p>
        </w:tc>
        <w:tc>
          <w:tcPr>
            <w:tcW w:type="dxa" w:w="192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2F6FA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sz w:val="19"/>
              </w:rPr>
              <w:t>文件複核者檢查角色與狀態用語；目前僅 SAMPLE 建議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sz w:val="19"/>
              </w:rPr>
              <w:t>第 8 節：已填 SAMPLE 工作表，含 8 人、兩期彙總、分母及指標結果</w:t>
            </w:r>
          </w:p>
        </w:tc>
        <w:tc>
          <w:tcPr>
            <w:tcW w:type="dxa" w:w="192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sz w:val="19"/>
              </w:rPr>
              <w:t>若轉為 REAL，需有權限來源及完整真實計算底稿</w:t>
            </w:r>
          </w:p>
        </w:tc>
        <w:tc>
          <w:tcPr>
            <w:tcW w:type="dxa" w:w="192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sz w:val="19"/>
              </w:rPr>
              <w:t>REAL替換前由本會有權者依G2確認目的、來源、權限及必要告知／同意；未確認為UNKNOWN／HOLD。</w:t>
            </w:r>
          </w:p>
        </w:tc>
        <w:tc>
          <w:tcPr>
            <w:tcW w:type="dxa" w:w="192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sz w:val="19"/>
              </w:rPr>
              <w:t>只將經核定且安全的彙總值帶入；原始資料留受控區</w:t>
            </w:r>
          </w:p>
        </w:tc>
        <w:tc>
          <w:tcPr>
            <w:tcW w:type="dxa" w:w="192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sz w:val="19"/>
              </w:rPr>
              <w:t>第二人重算工作表全部欄位；SAMPLE固定，REAL=UNKNOWN／HOLD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2F6FA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sz w:val="19"/>
              </w:rPr>
              <w:t>第 9.2 節：ACCEPT／HOLD／REJECT 的樣本判定示例</w:t>
            </w:r>
          </w:p>
        </w:tc>
        <w:tc>
          <w:tcPr>
            <w:tcW w:type="dxa" w:w="192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2F6FA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sz w:val="19"/>
              </w:rPr>
              <w:t>真實來源、授權及獨立複核紀錄</w:t>
            </w:r>
          </w:p>
        </w:tc>
        <w:tc>
          <w:tcPr>
            <w:tcW w:type="dxa" w:w="192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2F6FA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sz w:val="19"/>
              </w:rPr>
              <w:t>REAL替換前由本會有權者依G2確認目的、來源、權限及必要告知／同意；未確認為UNKNOWN／HOLD。</w:t>
            </w:r>
          </w:p>
        </w:tc>
        <w:tc>
          <w:tcPr>
            <w:tcW w:type="dxa" w:w="192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2F6FA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sz w:val="19"/>
              </w:rPr>
              <w:t>不把樣本判定當成協會決議</w:t>
            </w:r>
          </w:p>
        </w:tc>
        <w:tc>
          <w:tcPr>
            <w:tcW w:type="dxa" w:w="192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2F6FA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sz w:val="19"/>
              </w:rPr>
              <w:t>第二人核對判定邏輯與條件；REAL判定仍HOLD</w:t>
            </w:r>
          </w:p>
        </w:tc>
      </w:tr>
    </w:tbl>
    <w:p>
      <w:pPr>
        <w:spacing w:after="20"/>
      </w:pPr>
    </w:p>
    <w:p>
      <w:pPr>
        <w:spacing w:after="100" w:line="271" w:lineRule="auto"/>
      </w:pPr>
      <w:r>
        <w:rPr>
          <w:rFonts w:ascii="Microsoft JhengHei" w:hAnsi="Microsoft JhengHei" w:eastAsia="Microsoft JhengHei"/>
          <w:sz w:val="21"/>
        </w:rPr>
        <w:t>以上清冊中的「第二人」是複核角色建議，不代表目前已有受指派人員。凡授權、來源、遮罩、分母、計算或安全發布尚未具備者，該列的 REAL 狀態均維持 UNKNOWN／HOLD。</w:t>
      </w:r>
    </w:p>
    <w:p>
      <w:pPr>
        <w:pStyle w:val="Heading2"/>
        <w:pageBreakBefore/>
      </w:pPr>
      <w:r>
        <w:rPr>
          <w:rFonts w:ascii="Microsoft JhengHei" w:hAnsi="Microsoft JhengHei" w:eastAsia="Microsoft JhengHei"/>
          <w:sz w:val="21"/>
        </w:rPr>
        <w:t>9.2 逐項判定（ACCEPT／HOLD／REJECT）</w:t>
      </w:r>
    </w:p>
    <w:p>
      <w:pPr>
        <w:spacing w:after="100" w:line="271" w:lineRule="auto"/>
      </w:pPr>
      <w:r>
        <w:rPr>
          <w:rFonts w:ascii="Microsoft JhengHei" w:hAnsi="Microsoft JhengHei" w:eastAsia="Microsoft JhengHei"/>
          <w:sz w:val="21"/>
        </w:rPr>
        <w:t>以下 ACCEPT 只表示本合成案例的算術或官方參考定位正確，不表示協會已驗收或已發生真實使用。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rPr>
          <w:tblHeader w:val="true"/>
          <w:cantSplit/>
        </w:trPr>
        <w:tc>
          <w:tcPr>
            <w:tcW w:type="dxa" w:w="240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17365D"/>
          </w:tcPr>
          <w:p>
            <w:pPr>
              <w:spacing w:after="0" w:line="240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編號</w:t>
            </w:r>
          </w:p>
        </w:tc>
        <w:tc>
          <w:tcPr>
            <w:tcW w:type="dxa" w:w="240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17365D"/>
          </w:tcPr>
          <w:p>
            <w:pPr>
              <w:spacing w:after="0" w:line="240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判定項目</w:t>
            </w:r>
          </w:p>
        </w:tc>
        <w:tc>
          <w:tcPr>
            <w:tcW w:type="dxa" w:w="240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17365D"/>
          </w:tcPr>
          <w:p>
            <w:pPr>
              <w:spacing w:after="0" w:line="240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判定</w:t>
            </w:r>
          </w:p>
        </w:tc>
        <w:tc>
          <w:tcPr>
            <w:tcW w:type="dxa" w:w="240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17365D"/>
          </w:tcPr>
          <w:p>
            <w:pPr>
              <w:spacing w:after="0" w:line="240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理由與後續</w:t>
            </w:r>
          </w:p>
        </w:tc>
      </w:tr>
      <w:tr>
        <w:trPr>
          <w:cantSplit/>
        </w:trPr>
        <w:tc>
          <w:tcPr>
            <w:tcW w:type="dxa" w:w="240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sz w:val="19"/>
              </w:rPr>
              <w:t>S-01</w:t>
            </w:r>
          </w:p>
        </w:tc>
        <w:tc>
          <w:tcPr>
            <w:tcW w:type="dxa" w:w="240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sz w:val="19"/>
              </w:rPr>
              <w:t>合成資料加總：基準 13 活躍人週／18 次；示範 47 活躍人週／67 次</w:t>
            </w:r>
          </w:p>
        </w:tc>
        <w:tc>
          <w:tcPr>
            <w:tcW w:type="dxa" w:w="240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sz w:val="19"/>
              </w:rPr>
              <w:t>ACCEPT（僅 SAMPLE）</w:t>
            </w:r>
          </w:p>
        </w:tc>
        <w:tc>
          <w:tcPr>
            <w:tcW w:type="dxa" w:w="240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sz w:val="19"/>
              </w:rPr>
              <w:t>與第 4.4 節固定合成表一致，不得外推</w:t>
            </w:r>
          </w:p>
        </w:tc>
      </w:tr>
      <w:tr>
        <w:trPr>
          <w:cantSplit/>
        </w:trPr>
        <w:tc>
          <w:tcPr>
            <w:tcW w:type="dxa" w:w="240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2F6FA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sz w:val="19"/>
              </w:rPr>
              <w:t>S-02</w:t>
            </w:r>
          </w:p>
        </w:tc>
        <w:tc>
          <w:tcPr>
            <w:tcW w:type="dxa" w:w="240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2F6FA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sz w:val="19"/>
              </w:rPr>
              <w:t>活躍成員率、活躍成員週率及百分點差</w:t>
            </w:r>
          </w:p>
        </w:tc>
        <w:tc>
          <w:tcPr>
            <w:tcW w:type="dxa" w:w="240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2F6FA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sz w:val="19"/>
              </w:rPr>
              <w:t>ACCEPT（僅 SAMPLE）</w:t>
            </w:r>
          </w:p>
        </w:tc>
        <w:tc>
          <w:tcPr>
            <w:tcW w:type="dxa" w:w="240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2F6FA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sz w:val="19"/>
              </w:rPr>
              <w:t>5／8、7／8、13／104、47／104 重算一致</w:t>
            </w:r>
          </w:p>
        </w:tc>
      </w:tr>
      <w:tr>
        <w:trPr>
          <w:cantSplit/>
        </w:trPr>
        <w:tc>
          <w:tcPr>
            <w:tcW w:type="dxa" w:w="240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sz w:val="19"/>
              </w:rPr>
              <w:t>S-03</w:t>
            </w:r>
          </w:p>
        </w:tc>
        <w:tc>
          <w:tcPr>
            <w:tcW w:type="dxa" w:w="240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sz w:val="19"/>
              </w:rPr>
              <w:t>每活躍成員、每活躍人週及四捨五入</w:t>
            </w:r>
          </w:p>
        </w:tc>
        <w:tc>
          <w:tcPr>
            <w:tcW w:type="dxa" w:w="240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sz w:val="19"/>
              </w:rPr>
              <w:t>ACCEPT（僅 SAMPLE）</w:t>
            </w:r>
          </w:p>
        </w:tc>
        <w:tc>
          <w:tcPr>
            <w:tcW w:type="dxa" w:w="240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sz w:val="19"/>
              </w:rPr>
              <w:t>依未四捨五入值重算一致</w:t>
            </w:r>
          </w:p>
        </w:tc>
      </w:tr>
      <w:tr>
        <w:trPr>
          <w:cantSplit/>
        </w:trPr>
        <w:tc>
          <w:tcPr>
            <w:tcW w:type="dxa" w:w="240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2F6FA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sz w:val="19"/>
              </w:rPr>
              <w:t>S-04</w:t>
            </w:r>
          </w:p>
        </w:tc>
        <w:tc>
          <w:tcPr>
            <w:tcW w:type="dxa" w:w="240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2F6FA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sz w:val="19"/>
              </w:rPr>
              <w:t>分布、中位數及 ≥6 週門檻</w:t>
            </w:r>
          </w:p>
        </w:tc>
        <w:tc>
          <w:tcPr>
            <w:tcW w:type="dxa" w:w="240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2F6FA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sz w:val="19"/>
              </w:rPr>
              <w:t>ACCEPT（僅 SAMPLE）</w:t>
            </w:r>
          </w:p>
        </w:tc>
        <w:tc>
          <w:tcPr>
            <w:tcW w:type="dxa" w:w="240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2F6FA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sz w:val="19"/>
              </w:rPr>
              <w:t>門檻僅是此示範規則，不是官方要求或協會政策</w:t>
            </w:r>
          </w:p>
        </w:tc>
      </w:tr>
      <w:tr>
        <w:trPr>
          <w:cantSplit/>
        </w:trPr>
        <w:tc>
          <w:tcPr>
            <w:tcW w:type="dxa" w:w="240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sz w:val="19"/>
              </w:rPr>
              <w:t>O-01</w:t>
            </w:r>
          </w:p>
        </w:tc>
        <w:tc>
          <w:tcPr>
            <w:tcW w:type="dxa" w:w="240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sz w:val="19"/>
              </w:rPr>
              <w:t>官方資料表第 7 頁參考例</w:t>
            </w:r>
          </w:p>
        </w:tc>
        <w:tc>
          <w:tcPr>
            <w:tcW w:type="dxa" w:w="240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sz w:val="19"/>
              </w:rPr>
              <w:t>ACCEPT（來源引用）</w:t>
            </w:r>
          </w:p>
        </w:tc>
        <w:tc>
          <w:tcPr>
            <w:tcW w:type="dxa" w:w="240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sz w:val="19"/>
              </w:rPr>
              <w:t>只確認參考例定位；不證明本會使用網站</w:t>
            </w:r>
          </w:p>
        </w:tc>
      </w:tr>
      <w:tr>
        <w:trPr>
          <w:cantSplit/>
        </w:trPr>
        <w:tc>
          <w:tcPr>
            <w:tcW w:type="dxa" w:w="240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2F6FA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sz w:val="19"/>
              </w:rPr>
              <w:t>O-02</w:t>
            </w:r>
          </w:p>
        </w:tc>
        <w:tc>
          <w:tcPr>
            <w:tcW w:type="dxa" w:w="240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2F6FA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sz w:val="19"/>
              </w:rPr>
              <w:t>I18-E17 對應 doc_id 0109</w:t>
            </w:r>
          </w:p>
        </w:tc>
        <w:tc>
          <w:tcPr>
            <w:tcW w:type="dxa" w:w="240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2F6FA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sz w:val="19"/>
              </w:rPr>
              <w:t>ACCEPT（專案對照）</w:t>
            </w:r>
          </w:p>
        </w:tc>
        <w:tc>
          <w:tcPr>
            <w:tcW w:type="dxa" w:w="240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2F6FA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sz w:val="19"/>
              </w:rPr>
              <w:t>對照引用不代表協會採用或正式核准</w:t>
            </w:r>
          </w:p>
        </w:tc>
      </w:tr>
      <w:tr>
        <w:trPr>
          <w:cantSplit/>
        </w:trPr>
        <w:tc>
          <w:tcPr>
            <w:tcW w:type="dxa" w:w="240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sz w:val="19"/>
              </w:rPr>
              <w:t>O-05</w:t>
            </w:r>
          </w:p>
        </w:tc>
        <w:tc>
          <w:tcPr>
            <w:tcW w:type="dxa" w:w="240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sz w:val="19"/>
              </w:rPr>
              <w:t>I18-E08 對應 doc_id 0100、0101</w:t>
            </w:r>
          </w:p>
        </w:tc>
        <w:tc>
          <w:tcPr>
            <w:tcW w:type="dxa" w:w="240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sz w:val="19"/>
              </w:rPr>
              <w:t>ACCEPT（負向近鄰對照）</w:t>
            </w:r>
          </w:p>
        </w:tc>
        <w:tc>
          <w:tcPr>
            <w:tcW w:type="dxa" w:w="240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sz w:val="19"/>
              </w:rPr>
              <w:t>僅證明不同文件身分；不把前後自評或雷達資料套用到本件</w:t>
            </w:r>
          </w:p>
        </w:tc>
      </w:tr>
      <w:tr>
        <w:trPr>
          <w:cantSplit/>
        </w:trPr>
        <w:tc>
          <w:tcPr>
            <w:tcW w:type="dxa" w:w="240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2F6FA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sz w:val="19"/>
              </w:rPr>
              <w:t>O-03</w:t>
            </w:r>
          </w:p>
        </w:tc>
        <w:tc>
          <w:tcPr>
            <w:tcW w:type="dxa" w:w="240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2F6FA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sz w:val="19"/>
              </w:rPr>
              <w:t>專案索引 118</w:t>
            </w:r>
          </w:p>
        </w:tc>
        <w:tc>
          <w:tcPr>
            <w:tcW w:type="dxa" w:w="240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2F6FA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sz w:val="19"/>
              </w:rPr>
              <w:t>ACCEPT（內部導覽）</w:t>
            </w:r>
          </w:p>
        </w:tc>
        <w:tc>
          <w:tcPr>
            <w:tcW w:type="dxa" w:w="240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2F6FA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sz w:val="19"/>
              </w:rPr>
              <w:t>不是官方方框流水號；官方流水號維持 UNKNOWN</w:t>
            </w:r>
          </w:p>
        </w:tc>
      </w:tr>
      <w:tr>
        <w:trPr>
          <w:cantSplit/>
        </w:trPr>
        <w:tc>
          <w:tcPr>
            <w:tcW w:type="dxa" w:w="240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sz w:val="19"/>
              </w:rPr>
              <w:t>R-01</w:t>
            </w:r>
          </w:p>
        </w:tc>
        <w:tc>
          <w:tcPr>
            <w:tcW w:type="dxa" w:w="240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sz w:val="19"/>
              </w:rPr>
              <w:t>真實平台、名冊與使用頻率</w:t>
            </w:r>
          </w:p>
        </w:tc>
        <w:tc>
          <w:tcPr>
            <w:tcW w:type="dxa" w:w="240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sz w:val="19"/>
              </w:rPr>
              <w:t>HOLD</w:t>
            </w:r>
          </w:p>
        </w:tc>
        <w:tc>
          <w:tcPr>
            <w:tcW w:type="dxa" w:w="240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sz w:val="19"/>
              </w:rPr>
              <w:t>真實平台、名冊、事件來源及權限均未提供</w:t>
            </w:r>
          </w:p>
        </w:tc>
      </w:tr>
      <w:tr>
        <w:trPr>
          <w:cantSplit/>
        </w:trPr>
        <w:tc>
          <w:tcPr>
            <w:tcW w:type="dxa" w:w="240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2F6FA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sz w:val="19"/>
              </w:rPr>
              <w:t>R-02</w:t>
            </w:r>
          </w:p>
        </w:tc>
        <w:tc>
          <w:tcPr>
            <w:tcW w:type="dxa" w:w="240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2F6FA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sz w:val="19"/>
              </w:rPr>
              <w:t>真實期間、資格、異動與分母</w:t>
            </w:r>
          </w:p>
        </w:tc>
        <w:tc>
          <w:tcPr>
            <w:tcW w:type="dxa" w:w="240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2F6FA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sz w:val="19"/>
              </w:rPr>
              <w:t>HOLD</w:t>
            </w:r>
          </w:p>
        </w:tc>
        <w:tc>
          <w:tcPr>
            <w:tcW w:type="dxa" w:w="240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2F6FA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sz w:val="19"/>
              </w:rPr>
              <w:t>尚無已確認名冊或可比較期間</w:t>
            </w:r>
          </w:p>
        </w:tc>
      </w:tr>
      <w:tr>
        <w:trPr>
          <w:cantSplit/>
        </w:trPr>
        <w:tc>
          <w:tcPr>
            <w:tcW w:type="dxa" w:w="240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sz w:val="19"/>
              </w:rPr>
              <w:t>R-03</w:t>
            </w:r>
          </w:p>
        </w:tc>
        <w:tc>
          <w:tcPr>
            <w:tcW w:type="dxa" w:w="240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sz w:val="19"/>
              </w:rPr>
              <w:t>存取權限、處理依據及必要告知／同意</w:t>
            </w:r>
          </w:p>
        </w:tc>
        <w:tc>
          <w:tcPr>
            <w:tcW w:type="dxa" w:w="240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sz w:val="19"/>
              </w:rPr>
              <w:t>HOLD</w:t>
            </w:r>
          </w:p>
        </w:tc>
        <w:tc>
          <w:tcPr>
            <w:tcW w:type="dxa" w:w="240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sz w:val="19"/>
              </w:rPr>
              <w:t>未由有權人員確認；G0–G5 前不得讀取或匯出</w:t>
            </w:r>
          </w:p>
        </w:tc>
      </w:tr>
      <w:tr>
        <w:trPr>
          <w:cantSplit/>
        </w:trPr>
        <w:tc>
          <w:tcPr>
            <w:tcW w:type="dxa" w:w="240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2F6FA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sz w:val="19"/>
              </w:rPr>
              <w:t>R-04</w:t>
            </w:r>
          </w:p>
        </w:tc>
        <w:tc>
          <w:tcPr>
            <w:tcW w:type="dxa" w:w="240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2F6FA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sz w:val="19"/>
              </w:rPr>
              <w:t>真實事件分類、去重、排除及資料完整性</w:t>
            </w:r>
          </w:p>
        </w:tc>
        <w:tc>
          <w:tcPr>
            <w:tcW w:type="dxa" w:w="240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2F6FA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sz w:val="19"/>
              </w:rPr>
              <w:t>HOLD</w:t>
            </w:r>
          </w:p>
        </w:tc>
        <w:tc>
          <w:tcPr>
            <w:tcW w:type="dxa" w:w="240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2F6FA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sz w:val="19"/>
              </w:rPr>
              <w:t>缺逐筆來源或差異未明時HOLD；確認來源錯誤且無法更正、重複無法消除或分母遭選擇性排除時REJECT</w:t>
            </w:r>
          </w:p>
        </w:tc>
      </w:tr>
      <w:tr>
        <w:trPr>
          <w:cantSplit/>
        </w:trPr>
        <w:tc>
          <w:tcPr>
            <w:tcW w:type="dxa" w:w="240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sz w:val="19"/>
              </w:rPr>
              <w:t>R-05</w:t>
            </w:r>
          </w:p>
        </w:tc>
        <w:tc>
          <w:tcPr>
            <w:tcW w:type="dxa" w:w="240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sz w:val="19"/>
              </w:rPr>
              <w:t>第二人重算</w:t>
            </w:r>
          </w:p>
        </w:tc>
        <w:tc>
          <w:tcPr>
            <w:tcW w:type="dxa" w:w="240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sz w:val="19"/>
              </w:rPr>
              <w:t>HOLD</w:t>
            </w:r>
          </w:p>
        </w:tc>
        <w:tc>
          <w:tcPr>
            <w:tcW w:type="dxa" w:w="240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sz w:val="19"/>
              </w:rPr>
              <w:t>尚無 REAL 資料及已完成的獨立重算</w:t>
            </w:r>
          </w:p>
        </w:tc>
      </w:tr>
      <w:tr>
        <w:trPr>
          <w:cantSplit/>
        </w:trPr>
        <w:tc>
          <w:tcPr>
            <w:tcW w:type="dxa" w:w="240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2F6FA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sz w:val="19"/>
              </w:rPr>
              <w:t>R-06</w:t>
            </w:r>
          </w:p>
        </w:tc>
        <w:tc>
          <w:tcPr>
            <w:tcW w:type="dxa" w:w="240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2F6FA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sz w:val="19"/>
              </w:rPr>
              <w:t>去識別與小群體安全發布</w:t>
            </w:r>
          </w:p>
        </w:tc>
        <w:tc>
          <w:tcPr>
            <w:tcW w:type="dxa" w:w="240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2F6FA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sz w:val="19"/>
              </w:rPr>
              <w:t>HOLD</w:t>
            </w:r>
          </w:p>
        </w:tc>
        <w:tc>
          <w:tcPr>
            <w:tcW w:type="dxa" w:w="240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2F6FA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sz w:val="19"/>
              </w:rPr>
              <w:t>尚無核定門檻或發布檢查紀錄；有識別風險即不發布</w:t>
            </w:r>
          </w:p>
        </w:tc>
      </w:tr>
      <w:tr>
        <w:trPr>
          <w:cantSplit/>
        </w:trPr>
        <w:tc>
          <w:tcPr>
            <w:tcW w:type="dxa" w:w="240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sz w:val="19"/>
              </w:rPr>
              <w:t>R-07</w:t>
            </w:r>
          </w:p>
        </w:tc>
        <w:tc>
          <w:tcPr>
            <w:tcW w:type="dxa" w:w="240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sz w:val="19"/>
              </w:rPr>
              <w:t>正式提交或協會正式接受</w:t>
            </w:r>
          </w:p>
        </w:tc>
        <w:tc>
          <w:tcPr>
            <w:tcW w:type="dxa" w:w="240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sz w:val="19"/>
              </w:rPr>
              <w:t>HOLD</w:t>
            </w:r>
          </w:p>
        </w:tc>
        <w:tc>
          <w:tcPr>
            <w:tcW w:type="dxa" w:w="240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sz w:val="19"/>
              </w:rPr>
              <w:t>正式接受未授權；不能由本報告自行判定</w:t>
            </w:r>
          </w:p>
        </w:tc>
      </w:tr>
      <w:tr>
        <w:trPr>
          <w:cantSplit/>
        </w:trPr>
        <w:tc>
          <w:tcPr>
            <w:tcW w:type="dxa" w:w="240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2F6FA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sz w:val="19"/>
              </w:rPr>
              <w:t>X-01</w:t>
            </w:r>
          </w:p>
        </w:tc>
        <w:tc>
          <w:tcPr>
            <w:tcW w:type="dxa" w:w="240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2F6FA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sz w:val="19"/>
              </w:rPr>
              <w:t>以 SAMPLE 數字冒充真實使用或績效</w:t>
            </w:r>
          </w:p>
        </w:tc>
        <w:tc>
          <w:tcPr>
            <w:tcW w:type="dxa" w:w="240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2F6FA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sz w:val="19"/>
              </w:rPr>
              <w:t>REJECT</w:t>
            </w:r>
          </w:p>
        </w:tc>
        <w:tc>
          <w:tcPr>
            <w:tcW w:type="dxa" w:w="240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2F6FA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sz w:val="19"/>
              </w:rPr>
              <w:t>混淆資料性質，必須撤回並更正</w:t>
            </w:r>
          </w:p>
        </w:tc>
      </w:tr>
      <w:tr>
        <w:trPr>
          <w:cantSplit/>
        </w:trPr>
        <w:tc>
          <w:tcPr>
            <w:tcW w:type="dxa" w:w="240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sz w:val="19"/>
              </w:rPr>
              <w:t>X-02</w:t>
            </w:r>
          </w:p>
        </w:tc>
        <w:tc>
          <w:tcPr>
            <w:tcW w:type="dxa" w:w="240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sz w:val="19"/>
              </w:rPr>
              <w:t>補造名冊、同意、簽名、核准、評分或驗收</w:t>
            </w:r>
          </w:p>
        </w:tc>
        <w:tc>
          <w:tcPr>
            <w:tcW w:type="dxa" w:w="240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sz w:val="19"/>
              </w:rPr>
              <w:t>REJECT</w:t>
            </w:r>
          </w:p>
        </w:tc>
        <w:tc>
          <w:tcPr>
            <w:tcW w:type="dxa" w:w="240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sz w:val="19"/>
              </w:rPr>
              <w:t>不得把未發生的事寫成紀錄</w:t>
            </w:r>
          </w:p>
        </w:tc>
      </w:tr>
      <w:tr>
        <w:trPr>
          <w:cantSplit/>
        </w:trPr>
        <w:tc>
          <w:tcPr>
            <w:tcW w:type="dxa" w:w="240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2F6FA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sz w:val="19"/>
              </w:rPr>
              <w:t>X-03</w:t>
            </w:r>
          </w:p>
        </w:tc>
        <w:tc>
          <w:tcPr>
            <w:tcW w:type="dxa" w:w="240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2F6FA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sz w:val="19"/>
              </w:rPr>
              <w:t>未授權存取、匯出或公開原始日誌</w:t>
            </w:r>
          </w:p>
        </w:tc>
        <w:tc>
          <w:tcPr>
            <w:tcW w:type="dxa" w:w="240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2F6FA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sz w:val="19"/>
              </w:rPr>
              <w:t>REJECT</w:t>
            </w:r>
          </w:p>
        </w:tc>
        <w:tc>
          <w:tcPr>
            <w:tcW w:type="dxa" w:w="240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2F6FA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sz w:val="19"/>
              </w:rPr>
              <w:t>停止使用並由協會有權人員處理</w:t>
            </w:r>
          </w:p>
        </w:tc>
      </w:tr>
      <w:tr>
        <w:trPr>
          <w:cantSplit/>
        </w:trPr>
        <w:tc>
          <w:tcPr>
            <w:tcW w:type="dxa" w:w="240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sz w:val="19"/>
              </w:rPr>
              <w:t>X-04</w:t>
            </w:r>
          </w:p>
        </w:tc>
        <w:tc>
          <w:tcPr>
            <w:tcW w:type="dxa" w:w="240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sz w:val="19"/>
              </w:rPr>
              <w:t>稱 ≥6 週門檻已核准或把使用頻率換算成官方分數</w:t>
            </w:r>
          </w:p>
        </w:tc>
        <w:tc>
          <w:tcPr>
            <w:tcW w:type="dxa" w:w="240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sz w:val="19"/>
              </w:rPr>
              <w:t>REJECT</w:t>
            </w:r>
          </w:p>
        </w:tc>
        <w:tc>
          <w:tcPr>
            <w:tcW w:type="dxa" w:w="240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sz w:val="19"/>
              </w:rPr>
              <w:t>本案例沒有此類核准或評分</w:t>
            </w:r>
          </w:p>
        </w:tc>
      </w:tr>
      <w:tr>
        <w:trPr>
          <w:cantSplit/>
        </w:trPr>
        <w:tc>
          <w:tcPr>
            <w:tcW w:type="dxa" w:w="240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2F6FA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sz w:val="19"/>
              </w:rPr>
              <w:t>X-05</w:t>
            </w:r>
          </w:p>
        </w:tc>
        <w:tc>
          <w:tcPr>
            <w:tcW w:type="dxa" w:w="240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2F6FA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sz w:val="19"/>
              </w:rPr>
              <w:t>把登入、瀏覽、按讚或通知列為合格知識互動</w:t>
            </w:r>
          </w:p>
        </w:tc>
        <w:tc>
          <w:tcPr>
            <w:tcW w:type="dxa" w:w="240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2F6FA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sz w:val="19"/>
              </w:rPr>
              <w:t>REJECT</w:t>
            </w:r>
          </w:p>
        </w:tc>
        <w:tc>
          <w:tcPr>
            <w:tcW w:type="dxa" w:w="240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2F6FA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sz w:val="19"/>
              </w:rPr>
              <w:t>這些事件不符合本文的互動定義；須撤回錯誤分類並重算</w:t>
            </w:r>
          </w:p>
        </w:tc>
      </w:tr>
      <w:tr>
        <w:trPr>
          <w:cantSplit/>
        </w:trPr>
        <w:tc>
          <w:tcPr>
            <w:tcW w:type="dxa" w:w="240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sz w:val="19"/>
              </w:rPr>
              <w:t>X-06</w:t>
            </w:r>
          </w:p>
        </w:tc>
        <w:tc>
          <w:tcPr>
            <w:tcW w:type="dxa" w:w="240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sz w:val="19"/>
              </w:rPr>
              <w:t>無支持因果推論的設計，卻宣稱訓練造成使用變化或組織績效改善</w:t>
            </w:r>
          </w:p>
        </w:tc>
        <w:tc>
          <w:tcPr>
            <w:tcW w:type="dxa" w:w="240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sz w:val="19"/>
              </w:rPr>
              <w:t>REJECT</w:t>
            </w:r>
          </w:p>
        </w:tc>
        <w:tc>
          <w:tcPr>
            <w:tcW w:type="dxa" w:w="240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sz w:val="19"/>
              </w:rPr>
              <w:t>撤回或改寫為描述性比較，不得主張因果</w:t>
            </w:r>
          </w:p>
        </w:tc>
      </w:tr>
      <w:tr>
        <w:trPr>
          <w:cantSplit/>
        </w:trPr>
        <w:tc>
          <w:tcPr>
            <w:tcW w:type="dxa" w:w="240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2F6FA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sz w:val="19"/>
              </w:rPr>
              <w:t>X-07</w:t>
            </w:r>
          </w:p>
        </w:tc>
        <w:tc>
          <w:tcPr>
            <w:tcW w:type="dxa" w:w="240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2F6FA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sz w:val="19"/>
              </w:rPr>
              <w:t>確認來源遭竄改、數字與來源不符且無法更正、重複計數無法消除或分母遭選擇性排除</w:t>
            </w:r>
          </w:p>
        </w:tc>
        <w:tc>
          <w:tcPr>
            <w:tcW w:type="dxa" w:w="240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2F6FA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sz w:val="19"/>
              </w:rPr>
              <w:t>REJECT</w:t>
            </w:r>
          </w:p>
        </w:tc>
        <w:tc>
          <w:tcPr>
            <w:tcW w:type="dxa" w:w="240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2F6FA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sz w:val="19"/>
              </w:rPr>
              <w:t>拒收該分析並依合法原始來源修正相關計算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Microsoft JhengHei" w:hAnsi="Microsoft JhengHei" w:eastAsia="Microsoft JhengHei"/>
          <w:sz w:val="21"/>
        </w:rPr>
        <w:t>9.3 最終狀態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 w:val="true"/>
          <w:cantSplit/>
        </w:trPr>
        <w:tc>
          <w:tcPr>
            <w:tcW w:type="dxa" w:w="321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17365D"/>
          </w:tcPr>
          <w:p>
            <w:pPr>
              <w:spacing w:after="0" w:line="240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項目</w:t>
            </w:r>
          </w:p>
        </w:tc>
        <w:tc>
          <w:tcPr>
            <w:tcW w:type="dxa" w:w="321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17365D"/>
          </w:tcPr>
          <w:p>
            <w:pPr>
              <w:spacing w:after="0" w:line="240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狀態</w:t>
            </w:r>
          </w:p>
        </w:tc>
        <w:tc>
          <w:tcPr>
            <w:tcW w:type="dxa" w:w="321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17365D"/>
          </w:tcPr>
          <w:p>
            <w:pPr>
              <w:spacing w:after="0" w:line="240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說明</w:t>
            </w:r>
          </w:p>
        </w:tc>
      </w:tr>
      <w:tr>
        <w:trPr>
          <w:cantSplit/>
        </w:trPr>
        <w:tc>
          <w:tcPr>
            <w:tcW w:type="dxa" w:w="321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sz w:val="19"/>
              </w:rPr>
              <w:t>文件用途</w:t>
            </w:r>
          </w:p>
        </w:tc>
        <w:tc>
          <w:tcPr>
            <w:tcW w:type="dxa" w:w="321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sz w:val="19"/>
              </w:rPr>
              <w:t>I18-E17 使用頻率分析報告</w:t>
            </w:r>
          </w:p>
        </w:tc>
        <w:tc>
          <w:tcPr>
            <w:tcW w:type="dxa" w:w="321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sz w:val="19"/>
              </w:rPr>
              <w:t>與薪資、證照、課後調查、自評雷達及組織績效區分</w:t>
            </w:r>
          </w:p>
        </w:tc>
      </w:tr>
      <w:tr>
        <w:trPr>
          <w:cantSplit/>
        </w:trPr>
        <w:tc>
          <w:tcPr>
            <w:tcW w:type="dxa" w:w="321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2F6FA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sz w:val="19"/>
              </w:rPr>
              <w:t>候選資料</w:t>
            </w:r>
          </w:p>
        </w:tc>
        <w:tc>
          <w:tcPr>
            <w:tcW w:type="dxa" w:w="321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2F6FA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sz w:val="19"/>
              </w:rPr>
              <w:t>SAMPLE／SYNTHETIC</w:t>
            </w:r>
          </w:p>
        </w:tc>
        <w:tc>
          <w:tcPr>
            <w:tcW w:type="dxa" w:w="321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2F6FA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sz w:val="19"/>
              </w:rPr>
              <w:t>只含 SYN-0109-CASE-01；不能代表協會實績</w:t>
            </w:r>
          </w:p>
        </w:tc>
      </w:tr>
      <w:tr>
        <w:trPr>
          <w:cantSplit/>
        </w:trPr>
        <w:tc>
          <w:tcPr>
            <w:tcW w:type="dxa" w:w="321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sz w:val="19"/>
              </w:rPr>
              <w:t>官方參考</w:t>
            </w:r>
          </w:p>
        </w:tc>
        <w:tc>
          <w:tcPr>
            <w:tcW w:type="dxa" w:w="321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sz w:val="19"/>
              </w:rPr>
              <w:t>固定引用</w:t>
            </w:r>
          </w:p>
        </w:tc>
        <w:tc>
          <w:tcPr>
            <w:tcW w:type="dxa" w:w="321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sz w:val="19"/>
              </w:rPr>
              <w:t>官方資料表第 7 頁及專案對照不屬於待替換的 SAMPLE 欄位</w:t>
            </w:r>
          </w:p>
        </w:tc>
      </w:tr>
      <w:tr>
        <w:trPr>
          <w:cantSplit/>
        </w:trPr>
        <w:tc>
          <w:tcPr>
            <w:tcW w:type="dxa" w:w="321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2F6FA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sz w:val="19"/>
              </w:rPr>
              <w:t>REAL 平台、名冊及事件</w:t>
            </w:r>
          </w:p>
        </w:tc>
        <w:tc>
          <w:tcPr>
            <w:tcW w:type="dxa" w:w="321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2F6FA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sz w:val="19"/>
              </w:rPr>
              <w:t>UNKNOWN</w:t>
            </w:r>
          </w:p>
        </w:tc>
        <w:tc>
          <w:tcPr>
            <w:tcW w:type="dxa" w:w="321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2F6FA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sz w:val="19"/>
              </w:rPr>
              <w:t>尚未取得可確認的真實來源</w:t>
            </w:r>
          </w:p>
        </w:tc>
      </w:tr>
      <w:tr>
        <w:trPr>
          <w:cantSplit/>
        </w:trPr>
        <w:tc>
          <w:tcPr>
            <w:tcW w:type="dxa" w:w="321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sz w:val="19"/>
              </w:rPr>
              <w:t>權限、處理依據及必要告知／同意</w:t>
            </w:r>
          </w:p>
        </w:tc>
        <w:tc>
          <w:tcPr>
            <w:tcW w:type="dxa" w:w="321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sz w:val="19"/>
              </w:rPr>
              <w:t>UNKNOWN／HOLD</w:t>
            </w:r>
          </w:p>
        </w:tc>
        <w:tc>
          <w:tcPr>
            <w:tcW w:type="dxa" w:w="321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sz w:val="19"/>
              </w:rPr>
              <w:t>未由有權角色確認前，不得存取或匯出</w:t>
            </w:r>
          </w:p>
        </w:tc>
      </w:tr>
      <w:tr>
        <w:trPr>
          <w:cantSplit/>
        </w:trPr>
        <w:tc>
          <w:tcPr>
            <w:tcW w:type="dxa" w:w="321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2F6FA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sz w:val="19"/>
              </w:rPr>
              <w:t>小群體揭露規則</w:t>
            </w:r>
          </w:p>
        </w:tc>
        <w:tc>
          <w:tcPr>
            <w:tcW w:type="dxa" w:w="321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2F6FA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sz w:val="19"/>
              </w:rPr>
              <w:t>UNKNOWN／HOLD</w:t>
            </w:r>
          </w:p>
        </w:tc>
        <w:tc>
          <w:tcPr>
            <w:tcW w:type="dxa" w:w="321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2F6FA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sz w:val="19"/>
              </w:rPr>
              <w:t>不宣稱已有核定門檻；有辨識風險時不得發布</w:t>
            </w:r>
          </w:p>
        </w:tc>
      </w:tr>
      <w:tr>
        <w:trPr>
          <w:cantSplit/>
        </w:trPr>
        <w:tc>
          <w:tcPr>
            <w:tcW w:type="dxa" w:w="321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sz w:val="19"/>
              </w:rPr>
              <w:t>正式接受</w:t>
            </w:r>
          </w:p>
        </w:tc>
        <w:tc>
          <w:tcPr>
            <w:tcW w:type="dxa" w:w="321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sz w:val="19"/>
              </w:rPr>
              <w:t>NOT_GRANTED</w:t>
            </w:r>
          </w:p>
        </w:tc>
        <w:tc>
          <w:tcPr>
            <w:tcW w:type="dxa" w:w="321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sz w:val="19"/>
              </w:rPr>
              <w:t>本報告不表示協會或評核機關已接受</w:t>
            </w:r>
          </w:p>
        </w:tc>
      </w:tr>
    </w:tbl>
    <w:p>
      <w:pPr>
        <w:spacing w:after="20"/>
      </w:pPr>
    </w:p>
    <w:p>
      <w:pPr>
        <w:pStyle w:val="Heading3"/>
      </w:pPr>
      <w:r>
        <w:rPr>
          <w:rFonts w:ascii="Microsoft JhengHei" w:hAnsi="Microsoft JhengHei" w:eastAsia="Microsoft JhengHei"/>
          <w:sz w:val="21"/>
        </w:rPr>
        <w:t>進入 REAL 分析前</w:t>
      </w:r>
    </w:p>
    <w:p>
      <w:pPr>
        <w:spacing w:after="30" w:line="240" w:lineRule="auto"/>
        <w:ind w:left="312" w:hanging="312"/>
      </w:pPr>
      <w:r>
        <w:rPr>
          <w:rFonts w:ascii="Microsoft JhengHei" w:hAnsi="Microsoft JhengHei" w:eastAsia="Microsoft JhengHei"/>
          <w:sz w:val="21"/>
        </w:rPr>
        <w:t>1. 實際指派資料保管、授權確認、獨立複核與發布審核角色。</w:t>
      </w:r>
    </w:p>
    <w:p>
      <w:pPr>
        <w:spacing w:after="30" w:line="240" w:lineRule="auto"/>
        <w:ind w:left="312" w:hanging="312"/>
      </w:pPr>
      <w:r>
        <w:rPr>
          <w:rFonts w:ascii="Microsoft JhengHei" w:hAnsi="Microsoft JhengHei" w:eastAsia="Microsoft JhengHei"/>
          <w:sz w:val="21"/>
        </w:rPr>
        <w:t>2. 先完成第 3.2 節 G0–G5；未通過前不得讀取或匯出可識別資料。</w:t>
      </w:r>
    </w:p>
    <w:p>
      <w:pPr>
        <w:spacing w:after="30" w:line="240" w:lineRule="auto"/>
        <w:ind w:left="312" w:hanging="312"/>
      </w:pPr>
      <w:r>
        <w:rPr>
          <w:rFonts w:ascii="Microsoft JhengHei" w:hAnsi="Microsoft JhengHei" w:eastAsia="Microsoft JhengHei"/>
          <w:sz w:val="21"/>
        </w:rPr>
        <w:t>3. 凍結真實比較對象、期間、週界、時區、加入／退出／停權規則和事件定義。</w:t>
      </w:r>
    </w:p>
    <w:p>
      <w:pPr>
        <w:spacing w:after="30" w:line="240" w:lineRule="auto"/>
        <w:ind w:left="312" w:hanging="312"/>
      </w:pPr>
      <w:r>
        <w:rPr>
          <w:rFonts w:ascii="Microsoft JhengHei" w:hAnsi="Microsoft JhengHei" w:eastAsia="Microsoft JhengHei"/>
          <w:sz w:val="21"/>
        </w:rPr>
        <w:t>4. 在受控環境分類及彙總，只把必要且安全的代碼與聚合數帶入報告。</w:t>
      </w:r>
    </w:p>
    <w:p>
      <w:pPr>
        <w:spacing w:after="30" w:line="240" w:lineRule="auto"/>
        <w:ind w:left="312" w:hanging="312"/>
      </w:pPr>
      <w:r>
        <w:rPr>
          <w:rFonts w:ascii="Microsoft JhengHei" w:hAnsi="Microsoft JhengHei" w:eastAsia="Microsoft JhengHei"/>
          <w:sz w:val="21"/>
        </w:rPr>
        <w:t>5. 由另一人重算納入與排除、分子、分母、比率、差異與分布；不一致時 HOLD。</w:t>
      </w:r>
    </w:p>
    <w:p>
      <w:pPr>
        <w:spacing w:after="30" w:line="240" w:lineRule="auto"/>
        <w:ind w:left="312" w:hanging="312"/>
      </w:pPr>
      <w:r>
        <w:rPr>
          <w:rFonts w:ascii="Microsoft JhengHei" w:hAnsi="Microsoft JhengHei" w:eastAsia="Microsoft JhengHei"/>
          <w:sz w:val="21"/>
        </w:rPr>
        <w:t>6. 由發布審核角色檢查遮罩和小群體識別風險；不能安全發布時維持 HOLD。</w:t>
      </w:r>
    </w:p>
    <w:p>
      <w:pPr>
        <w:spacing w:after="30" w:line="240" w:lineRule="auto"/>
        <w:ind w:left="312" w:hanging="312"/>
      </w:pPr>
      <w:r>
        <w:rPr>
          <w:rFonts w:ascii="Microsoft JhengHei" w:hAnsi="Microsoft JhengHei" w:eastAsia="Microsoft JhengHei"/>
          <w:sz w:val="21"/>
        </w:rPr>
        <w:t>7. 依真實資料更新第 9.1 節清冊；不得替換或改寫官方來源。</w:t>
      </w:r>
    </w:p>
    <w:p>
      <w:pPr>
        <w:spacing w:after="100" w:line="271" w:lineRule="auto"/>
      </w:pPr>
      <w:r>
        <w:rPr>
          <w:rFonts w:ascii="Microsoft JhengHei" w:hAnsi="Microsoft JhengHei" w:eastAsia="Microsoft JhengHei"/>
          <w:sz w:val="21"/>
        </w:rPr>
        <w:t>完成以上工作不會自動授予正式接受或官方得分。只有在真實來源、授權、複核及正式核定均各自成立後，才能提出相應主張；目前均未成立。</w:t>
      </w:r>
    </w:p>
    <w:sectPr w:rsidR="00FC693F" w:rsidRPr="0006063C" w:rsidSect="00034616">
      <w:headerReference w:type="default" r:id="rId10"/>
      <w:footerReference w:type="default" r:id="rId11"/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JhengHei" w:hAnsi="Microsoft JhengHei" w:eastAsia="Microsoft JhengHei"/>
        <w:color w:val="5B6573"/>
        <w:sz w:val="17"/>
      </w:rPr>
      <w:t xml:space="preserve">SAMPLE / SYNTHETIC　・　未經正式接受　｜　第 </w:t>
    </w:r>
    <w:fldSimple w:instr="PAGE"/>
    <w:r>
      <w:rPr>
        <w:rFonts w:ascii="Microsoft JhengHei" w:hAnsi="Microsoft JhengHei" w:eastAsia="Microsoft JhengHei"/>
        <w:color w:val="5B6573"/>
        <w:sz w:val="17"/>
      </w:rPr>
      <w:t xml:space="preserve"> 頁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JhengHei" w:hAnsi="Microsoft JhengHei" w:eastAsia="Microsoft JhengHei"/>
        <w:color w:val="5B6573"/>
        <w:sz w:val="17"/>
      </w:rPr>
      <w:t>TTQS ONE　｜　候選文件　0109 / I18-E17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69" w:lineRule="auto"/>
    </w:pPr>
    <w:rPr>
      <w:rFonts w:ascii="Microsoft JhengHei" w:hAnsi="Microsoft JhengHei" w:eastAsia="Microsoft JhengHei"/>
      <w:b w:val="0"/>
      <w:color w:val="222222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7365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F4E79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17365D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269" w:lineRule="auto"/>
      <w:contextualSpacing/>
    </w:pPr>
    <w:rPr>
      <w:rFonts w:ascii="Microsoft JhengHei" w:hAnsi="Microsoft JhengHei" w:eastAsia="Microsoft JhengHei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269" w:lineRule="auto"/>
      <w:contextualSpacing/>
    </w:pPr>
    <w:rPr>
      <w:rFonts w:ascii="Microsoft JhengHei" w:hAnsi="Microsoft JhengHei" w:eastAsia="Microsoft JhengHei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header" Target="header1.xml"/><Relationship Id="rId1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社群網站知識討論區使用頻率分析報告</dc:title>
  <dc:subject>doc_id 0109 / I18-E17 / SAMPLE-SYNTHETIC candidate</dc:subject>
  <dc:creator>TTQS ONE 候選工作稿</dc:creator>
  <cp:keywords>SAMPLE; SYNTHETIC; I18-E17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