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t>文件編號：TTQS-0142｜版本：1.0｜狀態：示範文件／未生效｜修訂日期：2026-10-03｜生效日期：未生效｜指標代碼：I19-E32｜157項目索引：156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t>核對範圍是三個連續且已完成結帳的年度。本文中的「營業額」須對應到組織正式財務資料內可跨年度比較的營業收入科目；在實際替換前，由具權限的財務資料保管者確認科目對照。不得把0139（I19-E29，考照與就業率）、0140（I19-E30，訓練資訊系統採用率）、0141（I19-E31，顧客滿意度）或其他指標資料當作本項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pStyle w:val="Heading2"/>
        <w:keepNext/>
        <w:spacing w:before="160" w:after="80"/>
      </w:pPr>
      <w:r>
        <w:t>3.1 科目映射及納入判定</w:t>
      </w:r>
    </w:p>
    <w:p>
      <w:pPr>
        <w:keepNext/>
        <w:spacing w:before="0" w:after="100"/>
      </w:pPr>
      <w:r>
        <w:t>以下列名均為合成示例，不是本會總帳科目或已核定分類。取得真實財報、收入明細與科目表後，財務權責者須逐科目確認；未確認、期間不可比或限制未釐清時，REAL 一律 HOLD，不得採用示例分類。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1803"/>
        <w:gridCol w:w="1179"/>
        <w:gridCol w:w="1387"/>
        <w:gridCol w:w="2288"/>
        <w:gridCol w:w="2357"/>
        <w:gridCol w:w="1109"/>
      </w:tblGrid>
      <w:tr>
        <w:trPr>
          <w:cantSplit/>
          <w:tblHeader w:val="true"/>
        </w:trPr>
        <w:tc>
          <w:tcPr>
            <w:tcW w:type="dxa" w:w="1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原帳科目（示例名）</w:t>
            </w:r>
          </w:p>
        </w:tc>
        <w:tc>
          <w:tcPr>
            <w:tcW w:type="dxa" w:w="11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  <w:tc>
          <w:tcPr>
            <w:tcW w:type="dxa" w:w="13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是否納入營業額</w:t>
            </w:r>
          </w:p>
        </w:tc>
        <w:tc>
          <w:tcPr>
            <w:tcW w:type="dxa" w:w="2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決定依據</w:t>
            </w:r>
          </w:p>
        </w:tc>
        <w:tc>
          <w:tcPr>
            <w:tcW w:type="dxa" w:w="235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權責確認</w:t>
            </w:r>
          </w:p>
        </w:tc>
        <w:tc>
          <w:tcPr>
            <w:tcW w:type="dxa" w:w="110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【SAMPLE】訓練服務收入（合成科目名）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服務收入（示例）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示例假設納入；REAL待核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僅假設為當期訓練服務對價；真實須核對報表列、總帳、明細、期間、退款及折讓。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REAL未核；財務權責者記科目/期間/日期，第二人獨立覆核；不得補造姓名。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【SAMPLE】捐助或政府補助（合成科目名）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先核用途限制、核銷條件及會計政策；不得僅因收入增加併入營業額。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【SAMPLE】會員會費（合成科目名）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按正式科目表及收入性質核對；分類不明先列例外。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【SAMPLE】利息收入（合成科目名）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與服務收入分列，不得用總收入變動替代營業額趨勢。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【SAMPLE】代收／暫收款（合成科目名）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待判／代收性質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不納入；差異未解即HOLD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查交易本質、債權債務及正式入帳依據；不得將代收款視作服務收入。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REAL未核；須有原始交易與權責判定。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【SAMPLE】退款／折讓／沖銷（合成科目名）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營業額調整（示例）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按正式口徑調減；REAL待核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須連回原服務收入及年度，按一致會計基礎處理，避免重複扣抵。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REAL未核；須留交易原件、調整理由及獨立覆核。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</w: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sz w:val="21"/>
        </w:rPr>
        <w:t>表7　逐步計算與示例公式覆核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1224"/>
        <w:gridCol w:w="936"/>
        <w:gridCol w:w="2779"/>
      </w:tblGrid>
      <w:tr>
        <w:trPr>
          <w:tblHeader w:val="true"/>
          <w:cantSplit/>
        </w:trPr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34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2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單位</w:t>
            </w:r>
          </w:p>
        </w:tc>
        <w:tc>
          <w:tcPr>
            <w:tcW w:type="dxa" w:w="2779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可比性結論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新臺幣元</w:t>
            </w:r>
          </w:p>
        </w:tc>
        <w:tc>
          <w:tcPr>
            <w:tcW w:type="dxa" w:w="2779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2024與2023採同一合成口徑；REAL待核</w:t>
            </w:r>
          </w:p>
        </w:tc>
      </w:tr>
      <w:tr>
        <w:trPr>
          <w:cantSplit/>
        </w:trPr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34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2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新臺幣元</w:t>
            </w:r>
          </w:p>
        </w:tc>
        <w:tc>
          <w:tcPr>
            <w:tcW w:type="dxa" w:w="2779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2025與2024採同一合成口徑；REAL待核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+21.00%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新臺幣元</w:t>
            </w:r>
          </w:p>
        </w:tc>
        <w:tc>
          <w:tcPr>
            <w:tcW w:type="dxa" w:w="2779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以2023為基期；合成資料假設三年可比</w:t>
            </w:r>
          </w:p>
        </w:tc>
      </w:tr>
      <w:tr>
        <w:trPr>
          <w:cantSplit/>
        </w:trPr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34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2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+18.38%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新臺幣元</w:t>
            </w:r>
          </w:p>
        </w:tc>
        <w:tc>
          <w:tcPr>
            <w:tcW w:type="dxa" w:w="2779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只作總收入勾稽，不替代營業額趨勢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sz w:val="21"/>
        </w:rPr>
        <w:t>表8　示例趨勢判讀結果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sz w:val="21"/>
        </w:rPr>
        <w:t>表9　例外停審與解除追蹤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123"/>
        <w:gridCol w:w="1512"/>
        <w:gridCol w:w="936"/>
        <w:gridCol w:w="3168"/>
        <w:gridCol w:w="1728"/>
      </w:tblGrid>
      <w:tr>
        <w:trPr>
          <w:tblHeader w:val="true"/>
          <w:cantSplit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缺件／差異與目前狀態</w:t>
            </w:r>
          </w:p>
        </w:tc>
        <w:tc>
          <w:tcPr>
            <w:tcW w:type="dxa" w:w="1123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受影響年度</w:t>
            </w:r>
          </w:p>
        </w:tc>
        <w:tc>
          <w:tcPr>
            <w:tcW w:type="dxa" w:w="15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待辦責任職務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解除證據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重算日期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未取得組織正式財報及收入明細／總帳；REAL=UNKNOWN/HOLD，實績未判定。</w:t>
            </w:r>
          </w:p>
        </w:tc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2023–2025（待正式原件確認實際年度）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尚未指派；待協會依正式程序指派具權責職務，未填姓名。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尚未排定；由實際負責職務填入真實期限。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三個連續完整年度正式財報及明細／總帳已調回；權責科目映射、幣別/基礎、表間差異均完成覆核並留有可追溯原件定位。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尚未發生；完成取件及獨立覆核後記錄實際日期。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sz w:val="21"/>
        </w:rPr>
        <w:t>表10　真實資料替換完成條件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spacing w:before="160" w:after="80"/>
      </w:pPr>
      <w:r>
        <w:t>6.1 SAMPLE 逐項替換清冊</w:t>
      </w:r>
    </w:p>
    <w:p>
      <w:pPr>
        <w:keepNext/>
        <w:spacing w:before="0" w:after="100"/>
      </w:pPr>
      <w:r>
        <w:t>下列九筆只用於算式示範。每筆均須以授權取得的正式年度財報及收入明細／總帳定位替換，並記錄覆核狀態與實際替換日期；來源未取得時不得填成已完成。</w:t>
      </w:r>
    </w:p>
    <w:p>
      <w:pPr>
        <w:pStyle w:val="Caption"/>
        <w:keepNext/>
      </w:pPr>
      <w:r>
        <w:rPr>
          <w:sz w:val="21"/>
          <w:szCs w:val="21"/>
        </w:rPr>
        <w:t>附表 A　SAMPLE 數值逐項替換清冊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2297"/>
        <w:gridCol w:w="1482"/>
        <w:gridCol w:w="1156"/>
        <w:gridCol w:w="2297"/>
        <w:gridCol w:w="1556"/>
        <w:gridCol w:w="1334"/>
      </w:tblGrid>
      <w:tr>
        <w:trPr>
          <w:cantSplit/>
          <w:tblHeader w:val="true"/>
        </w:trPr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sample_fact_id</w:t>
            </w:r>
          </w:p>
        </w:tc>
        <w:tc>
          <w:tcPr>
            <w:tcW w:type="dxa" w:w="148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表／列／欄</w:t>
            </w:r>
          </w:p>
        </w:tc>
        <w:tc>
          <w:tcPr>
            <w:tcW w:type="dxa" w:w="1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真實來源定位（待填）</w:t>
            </w:r>
          </w:p>
        </w:tc>
        <w:tc>
          <w:tcPr>
            <w:tcW w:type="dxa" w:w="15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  <w:tc>
          <w:tcPr>
            <w:tcW w:type="dxa" w:w="13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SYN-0142-I19-E32-2023-OPERATING_REVENUE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表5／2023／營業額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1,200,000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SYN-0142-I19-E32-2023-OTHER_INCOME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表5／2023／其他收入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280,000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SYN-0142-I19-E32-2023-TOTAL_INCOME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表5／2023／總收入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1,480,000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SYN-0142-I19-E32-2024-OPERATING_REVENUE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表5／2024／營業額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1,320,000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SYN-0142-I19-E32-2024-OTHER_INCOME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表5／2024／其他收入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260,000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SYN-0142-I19-E32-2024-TOTAL_INCOME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表5／2024／總收入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1,580,000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SYN-0142-I19-E32-2025-OPERATING_REVENUE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表5／2025／營業額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1,452,000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SYN-0142-I19-E32-2025-OTHER_INCOME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表5／2025／其他收入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300,000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SYN-0142-I19-E32-2025-TOTAL_INCOME</w:t>
            </w:r>
          </w:p>
        </w:tc>
        <w:tc>
          <w:tcPr>
            <w:tcW w:type="dxa" w:w="148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表5／2025／總收入</w:t>
            </w:r>
          </w:p>
        </w:tc>
        <w:tc>
          <w:tcPr>
            <w:tcW w:type="dxa" w:w="11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1,752,000 TWD</w:t>
            </w:r>
          </w:p>
        </w:tc>
        <w:tc>
          <w:tcPr>
            <w:tcW w:type="dxa" w:w="2297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SYN-0142-I19-E32-2023-GRANT_OR_DONATION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附表C-1／2023／補助／捐助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180,000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SYN-0142-I19-E32-2023-MEMBERSHIP_DUES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附表C-1／2023／會員會費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80,000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SYN-0142-I19-E32-2023-INTEREST_INCOME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附表C-1／2023／利息收入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SYN-0142-I19-E32-2024-GRANT_OR_DONATION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附表C-1／2024／補助／捐助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170,000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SYN-0142-I19-E32-2024-MEMBERSHIP_DUES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附表C-1／2024／會員會費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70,000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SYN-0142-I19-E32-2024-INTEREST_INCOME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附表C-1／2024／利息收入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SYN-0142-I19-E32-2025-GRANT_OR_DONATION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附表C-1／2025／補助／捐助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SYN-0142-I19-E32-2025-MEMBERSHIP_DUES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附表C-1／2025／會員會費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80,000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  <w:tr>
        <w:trPr>
          <w:cantSplit/>
        </w:trPr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SYN-0142-I19-E32-2025-INTEREST_INCOME</w:t>
            </w:r>
          </w:p>
        </w:tc>
        <w:tc>
          <w:tcPr>
            <w:tcW w:type="dxa" w:w="1482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附表C-1／2025／利息收入</w:t>
            </w:r>
          </w:p>
        </w:tc>
        <w:tc>
          <w:tcPr>
            <w:tcW w:type="dxa" w:w="11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20,000 TWD</w:t>
            </w:r>
          </w:p>
        </w:tc>
        <w:tc>
          <w:tcPr>
            <w:tcW w:type="dxa" w:w="2297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SAMPLE/SYNTHETIC；無真實財報、總帳或外部定位；REAL HOLD。</w:t>
            </w:r>
          </w:p>
        </w:tc>
        <w:tc>
          <w:tcPr>
            <w:tcW w:type="dxa" w:w="1556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合成拆分示例；非本會科目事實；不得視為已覆核或營業額。</w:t>
            </w:r>
          </w:p>
        </w:tc>
        <w:tc>
          <w:tcPr>
            <w:tcW w:type="dxa" w:w="1334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未替換；待真實授權資料到位後記實際日期。</w:t>
            </w:r>
          </w:p>
        </w:tc>
      </w:tr>
    </w:tbl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官方原文：組織近三年營業額持續成長。直接欄位：年度、營業額、年增率、來源定位及覆核。示例資料集A位置為第4節表5第2至4列、表6第2至4列；附表C-1列營業額/其他收入分項/總收入，附表C-2列財報、總帳/明細、差異、調整與原件位置；附表B-1/B-2示範來源登錄。全部數字均為SAMPLE/SYNTHETIC，不能替代真實財報、收入明細/總帳原件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表9列缺件停審及六項追蹤欄位；表10列真實資料替換條件；附表A逐筆列SAMPLE替換清冊，附表B-1/B-2示範來源登錄，附表C-1/C-2示範收入分類及表間勾稽。任一真實原件、責任者、期限或覆核資料未取得/未實作時，REAL仍為UNKNOWN/HOLD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</w:pPr>
      <w:r>
        <w:t>7.1 相鄰要求辨別與文件保管</w:t>
      </w:r>
    </w:p>
    <w:p>
      <w:pPr>
        <w:keepNext w:val="0"/>
        <w:widowControl/>
        <w:spacing w:before="0" w:after="80" w:line="259" w:lineRule="auto"/>
      </w:pPr>
      <w:r>
        <w:t>相鄰要求辨別：0139（I19-E29，考照與就業率）、0140（I19-E30，訓練資訊系統採用率）及0141（I19-E31，顧客滿意度）均須依各自官方要求及專屬文件另行核對；本報告的財務金額、科目及趨勢不得替代上述佐證，反之亦同。</w:t>
      </w:r>
    </w:p>
    <w:p>
      <w:pPr>
        <w:keepNext w:val="0"/>
        <w:widowControl/>
        <w:spacing w:before="0" w:after="0" w:line="259" w:lineRule="auto"/>
      </w:pPr>
      <w: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及附表C-1/C-2；來源登錄示例見附表B-1/B-2。版本：1.0（示範文件，未生效）；修訂日期及生效狀態依首頁文件控制資訊，不代表財務資料日期、覆核或核准日期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893" w:bottom="893" w:left="893" w:header="403" w:footer="403" w:gutter="0"/>
          <w:cols w:space="720"/>
          <w:docGrid w:linePitch="360"/>
        </w:sectPr>
      </w:pPr>
    </w:p>
    <w:p>
      <w:pPr>
        <w:pStyle w:val="Heading1"/>
        <w:keepNext/>
        <w:spacing w:before="60" w:after="60"/>
      </w:pPr>
      <w:r>
        <w:rPr>
          <w:rFonts w:ascii="Microsoft JhengHei" w:hAnsi="Microsoft JhengHei" w:eastAsia="Microsoft JhengHei"/>
          <w:b/>
          <w:sz w:val="28"/>
        </w:rPr>
        <w:t>附表 B-1　SAMPLE來源登錄（來源版本、位置及幣別單位）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9"/>
        </w:rPr>
        <w:t>下列三列僅示範來源登錄欄位。SAMPLE/SYNTHETIC；「來源」是本文件內的合成資料集標識，不是財報、總帳或任何外部原件。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3528"/>
        <w:gridCol w:w="6048"/>
        <w:gridCol w:w="3168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年度</w:t>
            </w:r>
          </w:p>
        </w:tc>
        <w:tc>
          <w:tcPr>
            <w:tcW w:type="dxa" w:w="352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來源／版本</w:t>
            </w:r>
          </w:p>
        </w:tc>
        <w:tc>
          <w:tcPr>
            <w:tcW w:type="dxa" w:w="604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頁碼或科目列定位</w:t>
            </w:r>
          </w:p>
        </w:tc>
        <w:tc>
          <w:tcPr>
            <w:tcW w:type="dxa" w:w="316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幣別／單位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2023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示例資料集A／SYN v1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合成列A-2023；非財報頁碼/科目列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TWD／元（假設）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2024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示例資料集A／SYN v1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合成列A-2024；非財報頁碼/科目列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TWD／元（假設）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2025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示例資料集A／SYN v1</w:t>
            </w:r>
          </w:p>
        </w:tc>
        <w:tc>
          <w:tcPr>
            <w:tcW w:type="dxa" w:w="604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合成列A-2025；非財報頁碼/科目列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TWD／元（假設）</w:t>
            </w:r>
          </w:p>
        </w:tc>
      </w:tr>
    </w:tbl>
    <w:p>
      <w:pPr>
        <w:pStyle w:val="Heading2"/>
        <w:keepNext/>
        <w:spacing w:before="60" w:after="60"/>
      </w:pPr>
      <w:r>
        <w:rPr>
          <w:rFonts w:ascii="Microsoft JhengHei" w:hAnsi="Microsoft JhengHei" w:eastAsia="Microsoft JhengHei"/>
          <w:b/>
          <w:sz w:val="22"/>
        </w:rPr>
        <w:t>附表 B-2　SAMPLE來源登錄（會計口徑、核准狀態、職務及差異）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9"/>
        </w:rPr>
        <w:t>本表與附表B-1以年度連結。正式填報時逐年由真實原件抄錄；不得把示範角色、核准狀態、差異或日期當成已執行事實。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3528"/>
        <w:gridCol w:w="3168"/>
        <w:gridCol w:w="3600"/>
        <w:gridCol w:w="2448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年度</w:t>
            </w:r>
          </w:p>
        </w:tc>
        <w:tc>
          <w:tcPr>
            <w:tcW w:type="dxa" w:w="352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會計基礎</w:t>
            </w:r>
          </w:p>
        </w:tc>
        <w:tc>
          <w:tcPr>
            <w:tcW w:type="dxa" w:w="316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核准／簽證狀態</w:t>
            </w:r>
          </w:p>
        </w:tc>
        <w:tc>
          <w:tcPr>
            <w:tcW w:type="dxa" w:w="360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擷取／覆核職務</w:t>
            </w:r>
          </w:p>
        </w:tc>
        <w:tc>
          <w:tcPr>
            <w:tcW w:type="dxa" w:w="244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差異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2023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合成假設為完整年度/同一基礎；REAL待核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不代表真實核准或簽證；未取得原件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合成整理/覆核角色；非真人、未執行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無原件可比；REAL差異未知/HOLD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2024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合成假設為完整年度/同一基礎；REAL待核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不代表真實核准或簽證；未取得原件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合成整理/覆核角色；非真人、未執行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無原件可比；REAL差異未知/HOLD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2025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合成假設為完整年度/同一基礎；REAL待核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不代表真實核准或簽證；未取得原件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合成整理/覆核角色；非真人、未執行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無原件可比；REAL差異未知/HOLD</w:t>
            </w:r>
          </w:p>
        </w:tc>
      </w:tr>
    </w:tbl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9"/>
        </w:rPr>
        <w:t>正式使用清單：逐年填來源/版本、頁碼或科目列、幣別/單位、會計基礎、核准/簽證狀態、實際擷取與覆核職務及差異。空白或待核不表示通過。</w:t>
      </w:r>
    </w:p>
    <w:p>
      <w:r>
        <w:br w:type="page"/>
      </w:r>
    </w:p>
    <w:p>
      <w:pPr>
        <w:pStyle w:val="Heading1"/>
        <w:keepNext/>
        <w:spacing w:before="60" w:after="60"/>
      </w:pPr>
      <w:r>
        <w:rPr>
          <w:rFonts w:ascii="Microsoft JhengHei" w:hAnsi="Microsoft JhengHei" w:eastAsia="Microsoft JhengHei"/>
          <w:b/>
          <w:sz w:val="28"/>
        </w:rPr>
        <w:t>附表 C-1　SAMPLE年度收入分類與勾稽總表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9"/>
        </w:rPr>
        <w:t>所有金額均為合成示範，僅延伸表5既有總額。政府補助/捐助、會費與利息分列為其他收入，均未納入營業額；這些細分值不是本會科目或實績。代收/暫收款不計入，分類不清即HOLD。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6"/>
        <w:gridCol w:w="1944"/>
        <w:gridCol w:w="5040"/>
        <w:gridCol w:w="1800"/>
        <w:gridCol w:w="4680"/>
      </w:tblGrid>
      <w:tr>
        <w:trPr>
          <w:tblHeader w:val="true"/>
          <w:cantSplit/>
        </w:trPr>
        <w:tc>
          <w:tcPr>
            <w:tcW w:type="dxa" w:w="936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年度</w:t>
            </w:r>
          </w:p>
        </w:tc>
        <w:tc>
          <w:tcPr>
            <w:tcW w:type="dxa" w:w="1944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營業額（元）</w:t>
            </w:r>
          </w:p>
        </w:tc>
        <w:tc>
          <w:tcPr>
            <w:tcW w:type="dxa" w:w="504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其他收入分項（元）</w:t>
            </w:r>
          </w:p>
        </w:tc>
        <w:tc>
          <w:tcPr>
            <w:tcW w:type="dxa" w:w="180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總收入（元）</w:t>
            </w:r>
          </w:p>
        </w:tc>
        <w:tc>
          <w:tcPr>
            <w:tcW w:type="dxa" w:w="468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表間加總檢查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2023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1,200,000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補助/捐助180,000；會費80,000；利息20,000；合計280,000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1,480,000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1,200,000+280,000=1,480,000；差額0（SAMPLE）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2024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1,320,000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補助/捐助170,000；會費70,000；利息20,000；合計260,000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1,580,000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1,320,000+260,000=1,580,000；差額0（SAMPLE）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1,452,000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補助/捐助200,000；會費80,000；利息20,000；合計300,000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1,752,000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1,452,000+300,000=1,752,000；差額0（SAMPLE）</w:t>
            </w:r>
          </w:p>
        </w:tc>
      </w:tr>
    </w:tbl>
    <w:p>
      <w:pPr>
        <w:pStyle w:val="Heading2"/>
        <w:keepNext/>
        <w:spacing w:before="60" w:after="60"/>
      </w:pPr>
      <w:r>
        <w:rPr>
          <w:rFonts w:ascii="Microsoft JhengHei" w:hAnsi="Microsoft JhengHei" w:eastAsia="Microsoft JhengHei"/>
          <w:b/>
          <w:sz w:val="22"/>
        </w:rPr>
        <w:t>附表 C-2　SAMPLE財報列、總帳/明細與差異調整</w:t>
      </w:r>
    </w:p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9"/>
        </w:rPr>
        <w:t>本表的財報列與總帳/明細均為相同合成資料集的示範數字，沒有實際財報、帳簿或來源定位；零差異僅表示示範算術勾稽，不構成帳務覆核。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2"/>
        <w:gridCol w:w="3240"/>
        <w:gridCol w:w="3528"/>
        <w:gridCol w:w="1152"/>
        <w:gridCol w:w="2088"/>
        <w:gridCol w:w="3600"/>
      </w:tblGrid>
      <w:tr>
        <w:trPr>
          <w:tblHeader w:val="true"/>
          <w:cantSplit/>
        </w:trPr>
        <w:tc>
          <w:tcPr>
            <w:tcW w:type="dxa" w:w="792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年度</w:t>
            </w:r>
          </w:p>
        </w:tc>
        <w:tc>
          <w:tcPr>
            <w:tcW w:type="dxa" w:w="324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財報列／金額</w:t>
            </w:r>
          </w:p>
        </w:tc>
        <w:tc>
          <w:tcPr>
            <w:tcW w:type="dxa" w:w="352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總帳／明細勾稽</w:t>
            </w:r>
          </w:p>
        </w:tc>
        <w:tc>
          <w:tcPr>
            <w:tcW w:type="dxa" w:w="1152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差異</w:t>
            </w:r>
          </w:p>
        </w:tc>
        <w:tc>
          <w:tcPr>
            <w:tcW w:type="dxa" w:w="2088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調整</w:t>
            </w:r>
          </w:p>
        </w:tc>
        <w:tc>
          <w:tcPr>
            <w:tcW w:type="dxa" w:w="3600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原件位置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2023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SAMPLE服務收入1,200,000；其他收入280,000；總收入1,480,000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SAMPLE服務1,200,000+補助/捐助180,000+會費80,000+利息20,000=1,480,000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0（合成示範）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無調整假設；REAL須記實際調整依據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附表C-1 2023列；無外部財報/總帳原件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2024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SAMPLE服務收入1,320,000；其他收入260,000；總收入1,580,000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SAMPLE服務1,320,000+補助/捐助170,000+會費70,000+利息20,000=1,580,000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0（合成示範）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無調整假設；REAL須記實際調整依據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附表C-1 2024列；無外部財報/總帳原件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2025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SAMPLE服務收入1,452,000；其他收入300,000；總收入1,752,000</w:t>
            </w:r>
          </w:p>
        </w:tc>
        <w:tc>
          <w:tcPr>
            <w:tcW w:type="dxa" w:w="352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SAMPLE服務1,452,000+補助/捐助200,000+會費80,000+利息20,000=1,752,000</w:t>
            </w:r>
          </w:p>
        </w:tc>
        <w:tc>
          <w:tcPr>
            <w:tcW w:type="dxa" w:w="1152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0（合成示範）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無調整假設；REAL須記實際調整依據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附表C-1 2025列；無外部財報/總帳原件</w:t>
            </w:r>
          </w:p>
        </w:tc>
      </w:tr>
    </w:tbl>
    <w:p>
      <w:pPr>
        <w:keepLines/>
        <w:spacing w:after="100"/>
      </w:pPr>
      <w:r>
        <w:rPr>
          <w:rFonts w:ascii="Microsoft JhengHei" w:hAnsi="Microsoft JhengHei" w:eastAsia="Microsoft JhengHei"/>
          <w:b w:val="0"/>
          <w:sz w:val="19"/>
        </w:rPr>
        <w:t>REAL放行前必須逐年調回正式財報及收入明細/總帳原件，記實際行次/科目、金額、差異與調整理由、受控位置和獨立覆核；此處全部欄位仍為SAMPLE/待實填。</w:t>
      </w:r>
    </w:p>
    <w:sectPr w:rsidR="00FC693F" w:rsidRPr="0006063C" w:rsidSect="00034616">
      <w:pgSz w:w="16834" w:h="11909" w:orient="landscape"/>
      <w:pgMar w:top="749" w:right="691" w:bottom="749" w:left="691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0142 I19-E32 近三年營業額與收入趨勢核對報告 R08</dc:title>
  <dc:subject>R11 structural repair; SAMPLE only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