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Microsoft JhengHei" w:hAnsi="Microsoft JhengHei" w:eastAsia="Microsoft JhengHei"/>
          <w:b/>
          <w:color w:val="17365D"/>
          <w:sz w:val="44"/>
        </w:rPr>
        <w:t>訓練評估方法與成效指標對照表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F6B78"/>
          <w:sz w:val="23"/>
        </w:rPr>
        <w:t>把課程目標、觀察工具、評量時點、門檻與後續用途接成可核對的紀錄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60"/>
        <w:gridCol w:w="2448"/>
        <w:gridCol w:w="2880"/>
        <w:gridCol w:w="2664"/>
      </w:tblGrid>
      <w:tr>
        <w:trPr>
          <w:tblHeader w:val="true"/>
          <w:cantSplit/>
        </w:trPr>
        <w:tc>
          <w:tcPr>
            <w:tcW w:type="dxa" w:w="216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工具主題</w:t>
            </w:r>
          </w:p>
        </w:tc>
        <w:tc>
          <w:tcPr>
            <w:tcW w:type="dxa" w:w="244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資料狀態</w:t>
            </w:r>
          </w:p>
        </w:tc>
        <w:tc>
          <w:tcPr>
            <w:tcW w:type="dxa" w:w="288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使用時點與用途</w:t>
            </w:r>
          </w:p>
        </w:tc>
        <w:tc>
          <w:tcPr>
            <w:tcW w:type="dxa" w:w="26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示範資料日期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訓練評估指標對照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SAMPLE / SYNTHETIC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課程計畫定版前設計評量；課後彙整成效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2026-06-12（SAMPLE）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使用者：訓練行政人員、課程設計者與評核閱讀者。使用時點：課程計畫定版前，及每次課程前後評量資料彙整時。操作方式：先核對需求與目標，再確認每個目標都有可觀察項目、工具、時點、門檻及證據位置；課後只用有效且可配對資料計算。輸出：一張可執行的評量矩陣、一份逐筆評分紀錄及可重算的班次摘要。</w:t>
      </w:r>
    </w:p>
    <w:p>
      <w:pPr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官方要求（逐字引用）：</w:t>
      </w:r>
      <w:r>
        <w:rPr>
          <w:rFonts w:ascii="Microsoft JhengHei" w:hAnsi="Microsoft JhengHei" w:eastAsia="Microsoft JhengHei"/>
          <w:b w:val="0"/>
          <w:color w:val="202938"/>
          <w:sz w:val="21"/>
        </w:rPr>
        <w:t>「課程規劃會議紀錄展現訓練課程設計流程，擬定訓練評估方法並作為訓練成效評估的依據，且有佐證資料可查。」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i w:val="0"/>
          <w:color w:val="202938"/>
          <w:sz w:val="21"/>
        </w:rPr>
        <w:t>來源：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勞動力發展署《TTQS 查核佐證文件資料表—訓練機構版》PDF 第 3 頁載明，課程規劃會議須展現設計流程、擬定評量方法並作為訓練成效評估依據，且有佐證可查。本工具把評量方法轉成可執行矩陣；會議決策由配套會議示範，這份矩陣供課前設計及課後計算使用。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示範界線：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本件使用虛構課程「社區服務志工接待與活動引導」作跨表計算例。所有角色、需求分數、受評代碼、評分與計算均為 SAMPLE / SYNTHETIC，不是原始點協會實際調查、開課或成效。未取得原始資料與權限前，不得把示範結果改標為 REAL。</w:t>
      </w: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195"/>
        <w:gridCol w:w="4608"/>
        <w:gridCol w:w="4349"/>
      </w:tblGrid>
      <w:tr>
        <w:trPr>
          <w:tblHeader w:val="true"/>
          <w:cantSplit/>
        </w:trPr>
        <w:tc>
          <w:tcPr>
            <w:tcW w:type="dxa" w:w="1195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460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4349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完成後留下的可查結果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 核需求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確認需求來源、日期、適用課程與職能差距；資料未核實先標 SAMPLE 或待驗證。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需求來源索引與版本；不把合成需求當成調查結果。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 定目標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把每個差距改寫成可觀察的行為，並指定直接評量項目。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目標—指標對照；覆蓋率計算。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3 定工具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固定題目/情境、量尺、評分者、資料欄位、缺漏規則及合格門檻。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可重複使用的評量表與評分基準。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4 定時點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開課前做基線；最後一次練習後、結訓前做後測；30日追蹤另行核准。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含日期、版本、去識別代碼的評量紀錄。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5 重算與改善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按有效分母計算，揭露缺漏；未達門檻要列補強及再評量。</w:t>
            </w:r>
          </w:p>
        </w:tc>
        <w:tc>
          <w:tcPr>
            <w:tcW w:type="dxa" w:w="4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班次摘要、例外與課程修訂交接。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本矩陣與配套會議示範共用同一合成課程案例。會議示範呈現假設情境如何選擇目標、評量方法、時點與門檻；本矩陣把該設計轉成可執行及可計算的工具。這只維持合成示範一致，不表示該會議曾在協會發生。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520"/>
        <w:gridCol w:w="4464"/>
        <w:gridCol w:w="3168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文件／資料</w:t>
            </w:r>
          </w:p>
        </w:tc>
        <w:tc>
          <w:tcPr>
            <w:tcW w:type="dxa" w:w="44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本件如何引用</w:t>
            </w:r>
          </w:p>
        </w:tc>
        <w:tc>
          <w:tcPr>
            <w:tcW w:type="dxa" w:w="316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不得推論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官方要求來源（PDF 第 3 頁）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界定完整證據目的：會議決定評量方法，並有可查佐證。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不推論協會已達標或已完成評量。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配套會議示範案例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引用其 K1–K4、0–2 量尺、課前/結訓前時點、總分與 K3 門檻，以及五筆示範前後測。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會議示範不是協會已召開或核准的原始紀錄。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另一份需求調查示範案例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另一個合成案例；不把其日期、需求分數或樣本併入本案例。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兩案不得合併為一條真實證據鏈。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系統改善檢討紀錄；課程計畫文件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系統改善紀錄呈現改善檢討；課程計畫文件載明課程規劃內容。需要時依權責交接，不以本矩陣代替。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本矩陣不代替系統改善紀錄或完整課程計畫。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以下流程是評估設計的工作順序。每一步都要保留來源、版本與責任；任一關鍵前置資料未核實時，先停在示範或待驗證狀態。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952"/>
        <w:gridCol w:w="7200"/>
      </w:tblGrid>
      <w:tr>
        <w:trPr>
          <w:tblHeader w:val="true"/>
          <w:cantSplit/>
        </w:trPr>
        <w:tc>
          <w:tcPr>
            <w:tcW w:type="dxa" w:w="2952"/>
            <w:vAlign w:val="center"/>
            <w:shd w:fill="0F6B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流程節點</w:t>
            </w:r>
          </w:p>
        </w:tc>
        <w:tc>
          <w:tcPr>
            <w:tcW w:type="dxa" w:w="7200"/>
            <w:vAlign w:val="center"/>
            <w:shd w:fill="0F6B78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可核對輸出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01  需求與差距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可追溯的需求來源 → K1–K4 基線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02  行為目標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把差距改寫成可觀察、可評分的行為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03  工具與門檻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固定情境、0/1/2 量尺、K3 關鍵門檻及缺漏規則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04  前後評量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課前基線 → 最後練習後且結訓前；同版可比任務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05  計算與決策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有效樣本、平均變化、達標率、例外與補強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06  課程修訂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把未達標的 K 項交給課程負責角色更新下一版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設計覆蓋率＝有直接評量的目標數 ÷ 全部目標數。示範中 K1–K4 均有直接觀察項目，4 ÷ 4＝100%；這表示設計表面有覆蓋，不表示學員已達標。</w:t>
      </w:r>
    </w:p>
    <w:p>
      <w:r>
        <w:br w:type="page"/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示範基線取自配套會議示範中的同一組合成資料：K1、K2、K3、K4 平均分別為 1.0、0.6、1.2、0.6（滿分各 2 分）。差距＝2 分目標－基線平均。矩陣列出每項目標的直接觀察、時點、門檻、證據及覆核責任。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76"/>
        <w:gridCol w:w="2592"/>
        <w:gridCol w:w="2664"/>
        <w:gridCol w:w="2520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差距與目標</w:t>
            </w:r>
          </w:p>
        </w:tc>
        <w:tc>
          <w:tcPr>
            <w:tcW w:type="dxa" w:w="2592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直接評量／工具</w:t>
            </w:r>
          </w:p>
        </w:tc>
        <w:tc>
          <w:tcPr>
            <w:tcW w:type="dxa" w:w="266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時點與門檻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證據欄位、定位及責任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 開場與角色說明；基線 1.0，差距 1.0。受訓者清楚說明互動角色與可協助範圍。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標準化模擬接待；K1 0–2 分。看是否能說明角色及界線。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前測、後測各評一次。總門檻的一部分：後測需達總分 ≥6/8。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去識別受評代碼、情境版號、觀察事實、K1 分數、評分角色與日期；評量角色（示範職務）。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K2 澄清與摘要確認；基線 0.6，差距 1.4。先詢問，再用自己的話核對理解。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同一套標準化模擬接待；K2 0–2 分。觀察是否取得需要並讓對方修正摘要。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前測、後測各評一次；缺任一構面不得列入完整總分。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同上；評分須記錄可觀察行為，不以印象或滿意度替代。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同意與隱私界線；基線 1.2，差距 0.8。說明用途、取得同意、限制資料並適當轉介。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為關鍵項目：未同意或越界為 0；提示後修正為 1；主動守界線及轉介為 2。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獨立必要門檻：K3 ≥1；總分再須 ≥6/8。任何一項不合格都不能被其他高分抵銷。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評分紀錄只存去識別代碼及行為，不記錄真實服務對象個資；評量覆核角色（示範職務）負責覆核。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K4 收尾與交接；基線 0.6，差距 1.4。說明下一步、依範圍交接及完成去識別紀錄。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同一模擬任務；K4 0–2 分，檢查收尾、交接及記錄。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前測、後測各評一次；相同量尺、相近難度情境。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記錄下一步、交接對象角色、狀態與時間；不得填真實人名或未授權服務內容。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40"/>
        <w:gridCol w:w="2088"/>
        <w:gridCol w:w="2016"/>
        <w:gridCol w:w="2736"/>
        <w:gridCol w:w="1872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構面</w:t>
            </w:r>
          </w:p>
        </w:tc>
        <w:tc>
          <w:tcPr>
            <w:tcW w:type="dxa" w:w="208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 分：未達</w:t>
            </w:r>
          </w:p>
        </w:tc>
        <w:tc>
          <w:tcPr>
            <w:tcW w:type="dxa" w:w="201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 分：部分達成</w:t>
            </w:r>
          </w:p>
        </w:tc>
        <w:tc>
          <w:tcPr>
            <w:tcW w:type="dxa" w:w="273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 分：完整達成</w:t>
            </w:r>
          </w:p>
        </w:tc>
        <w:tc>
          <w:tcPr>
            <w:tcW w:type="dxa" w:w="1872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直接觀察重點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 開場與角色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未說明或角色範圍錯誤。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提示後能部分說明。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清楚說明互動角色、可協助及不可承諾範圍。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開場語句與角色界線。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K2 澄清與摘要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未確認需求，或摘要明顯不符。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提示後完成部分確認。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先詢問，再摘要並讓對方修正或確認。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提問、摘要、確認。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 同意與隱私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未取同意、收集不必要資料或越權提供建議。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提示後才修正；僅達最低門檻。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主動說明用途、取得同意、限制資料並適當轉介。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隱私與同意為安全關鍵項；0 分直接不通過。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K4 收尾與交接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沒有下一步或交接錯誤。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提示後完成部分步驟。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說明下一步、依授權交接並留下去識別記錄。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行動、責任角色、狀態與追蹤欄位。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計分：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四構面各 0、1、2 分，總分 0–8。示範通過條件同時為「四項完整」且「總分至少 6 分」且「K3 至少 1 分」。未觀察或缺評不得補 0；先記缺漏原因並補測或排除，計算時揭露有效分母。</w:t>
      </w:r>
    </w:p>
    <w:p>
      <w:r>
        <w:br w:type="page"/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下表沿用配套會議示範中的五筆合成評分，僅用來證明矩陣可重算。向量次序固定為 K1/K2/K3/K4。個人通過需後測四項完整、總分 ≥6/8 且 K3 ≥1。</w:t>
      </w:r>
    </w:p>
    <w:tbl>
      <w:tblPr>
        <w:tblW w:type="dxa" w:w="1015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076"/>
        <w:gridCol w:w="2487"/>
        <w:gridCol w:w="2487"/>
        <w:gridCol w:w="1076"/>
        <w:gridCol w:w="3027"/>
      </w:tblGrid>
      <w:tr>
        <w:trPr>
          <w:tblHeader w:val="true"/>
          <w:cantSplit/>
        </w:trPr>
        <w:tc>
          <w:tcPr>
            <w:tcW w:type="dxa" w:w="107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合成代碼</w:t>
            </w:r>
          </w:p>
        </w:tc>
        <w:tc>
          <w:tcPr>
            <w:tcW w:type="dxa" w:w="248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前測 K1/K2/K3/K4；總分</w:t>
            </w:r>
          </w:p>
        </w:tc>
        <w:tc>
          <w:tcPr>
            <w:tcW w:type="dxa" w:w="248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後測 K1/K2/K3/K4；總分</w:t>
            </w:r>
          </w:p>
        </w:tc>
        <w:tc>
          <w:tcPr>
            <w:tcW w:type="dxa" w:w="107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總分變化</w:t>
            </w:r>
          </w:p>
        </w:tc>
        <w:tc>
          <w:tcPr>
            <w:tcW w:type="dxa" w:w="302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依門檻判定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D01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1/0/1/0；2/8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2/1/2/1；6/8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+4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通過：6/8 且 K3=2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D02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0/1/1/1；3/8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2/2/2/1；7/8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+4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通過：7/8 且 K3=2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D03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1/1/2/0；4/8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2/2/1/1；6/8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通過：6/8 且 K3=1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D04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1/0/1/1；3/8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2/1/1/1；5/8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未通過：總分低於 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D05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2/1/1/1；5/8</w:t>
            </w:r>
          </w:p>
        </w:tc>
        <w:tc>
          <w:tcPr>
            <w:tcW w:type="dxa" w:w="24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2/2/2/1；7/8</w:t>
            </w:r>
          </w:p>
        </w:tc>
        <w:tc>
          <w:tcPr>
            <w:tcW w:type="dxa" w:w="10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</w:t>
            </w:r>
          </w:p>
        </w:tc>
        <w:tc>
          <w:tcPr>
            <w:tcW w:type="dxa" w:w="30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通過：7/8 且 K3=2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3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21"/>
        <w:gridCol w:w="3046"/>
        <w:gridCol w:w="3046"/>
        <w:gridCol w:w="2640"/>
      </w:tblGrid>
      <w:tr>
        <w:trPr>
          <w:tblHeader w:val="true"/>
          <w:cantSplit/>
        </w:trPr>
        <w:tc>
          <w:tcPr>
            <w:tcW w:type="dxa" w:w="142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04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定義／分母</w:t>
            </w:r>
          </w:p>
        </w:tc>
        <w:tc>
          <w:tcPr>
            <w:tcW w:type="dxa" w:w="304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代入合成資料</w:t>
            </w:r>
          </w:p>
        </w:tc>
        <w:tc>
          <w:tcPr>
            <w:tcW w:type="dxa" w:w="264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結果及解讀限制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目標覆蓋率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有直接評量的目標數 ÷ 全部目標數。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4 個目標均連到 K1–K4：4÷4。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100%；僅代表設計覆蓋，不代表學會。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平均前測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有效且四項完整的前測總分 ÷ 有效前測人數。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(2+3+4+3+5)÷5 = 17÷5。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3.4/8；五筆均為合成樣本。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平均後測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有效且四項完整的後測總分 ÷ 有效後測人數。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(6+7+6+5+7)÷5 = 31÷5。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6.2/8；未用缺漏補值。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配對平均變化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同一代碼前後測均完整者的「後測－前測」總分和 ÷ 配對有效人數。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(4+4+2+2+2)÷5 = 14÷5。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+2.8 分/8；不是因果證明。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後測達標率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符合完整資料、總分 ≥6 且 K3 ≥1 的人數 ÷ 有效完整後測人數。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D01、D02、D03、D05 達標：4÷5。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80%；D04 為 5/8，未達門檻。</w:t>
            </w:r>
          </w:p>
        </w:tc>
      </w:tr>
      <w:tr>
        <w:trPr>
          <w:cantSplit/>
        </w:trPr>
        <w:tc>
          <w:tcPr>
            <w:tcW w:type="dxa" w:w="14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構面平均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該構面有效評分總和 ÷ 該構面有效人數。</w:t>
            </w:r>
          </w:p>
        </w:tc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 K1–K4：5/5、3/5、6/5、3/5；後測：10/5、8/5、8/5、5/5。</w:t>
            </w:r>
          </w:p>
        </w:tc>
        <w:tc>
          <w:tcPr>
            <w:tcW w:type="dxa" w:w="26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 1.0/0.6/1.2/0.6；後測 2.0/1.6/1.6/1.0。</w:t>
            </w:r>
          </w:p>
        </w:tc>
      </w:tr>
    </w:tbl>
    <w:p>
      <w:pPr>
        <w:spacing w:after="2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本例五筆皆完整：前測總分合計 17，後測 31，配對增加 14，平均增加 14÷5＝2.8 分；達標 4 人，分母為 5 名有效後測者，4÷5＝80%。這些數字與配套會議示範資料一致。若實際資料有缺漏，應分別報告有效前測 N、有效後測 N、完整配對 N、缺漏數與原因；不得把未評分補成 0。</w:t>
      </w:r>
    </w:p>
    <w:p>
      <w:pPr>
        <w:pStyle w:val="Heading1"/>
        <w:keepNext/>
        <w:spacing w:before="160" w:after="80"/>
      </w:pP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執行時每一時點各留一筆，前後測使用同一去識別代碼、同版量尺及相近難度任務。下列 D04 是完整填入的 SAMPLE 例，展示未達標如何處置；沒有真實姓名、簽名或實際課程紀錄。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27"/>
        <w:gridCol w:w="4941"/>
        <w:gridCol w:w="3384"/>
      </w:tblGrid>
      <w:tr>
        <w:trPr>
          <w:tblHeader w:val="true"/>
          <w:cantSplit/>
        </w:trPr>
        <w:tc>
          <w:tcPr>
            <w:tcW w:type="dxa" w:w="1827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41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完整合成填寫示例</w:t>
            </w:r>
          </w:p>
        </w:tc>
        <w:tc>
          <w:tcPr>
            <w:tcW w:type="dxa" w:w="3384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實際使用時檢查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受評代碼／案例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D04／本案例合成代碼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只用受控代碼；對照表另行限權保存。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測量時點與任務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前測：第一單元前；後測：最後練習後、結訓前；同版模擬接待情境。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記錄實際日期、情境版次與是否相近；不把評量時間併入授課時數。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K1–K4 前測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1、0、1、1；總分 3/8。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逐項記錄可觀察事實與評分依據。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K1–K4 後測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2、1、1、1；總分 5/8；K3=1。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四項均完整才計總分；K3 另套關鍵門檻。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判定與理由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未通過：5/8 低於 6/8；不是因 K3 低分。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保留門檻、計算及評分者覆核紀錄。</w:t>
            </w:r>
          </w:p>
        </w:tc>
      </w:tr>
      <w:tr>
        <w:trPr>
          <w:cantSplit/>
        </w:trPr>
        <w:tc>
          <w:tcPr>
            <w:tcW w:type="dxa" w:w="1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後續行動（示範待辦）</w:t>
            </w:r>
          </w:p>
        </w:tc>
        <w:tc>
          <w:tcPr>
            <w:tcW w:type="dxa" w:w="49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課程設計角色安排補強 K2 澄清摘要及 K4 交接，再以等難度新情境重評；本例未執行、未填重評結果。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確認責任、期限、授權及新任務版本；完成前不可改為通過。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98"/>
        <w:gridCol w:w="4196"/>
        <w:gridCol w:w="3858"/>
      </w:tblGrid>
      <w:tr>
        <w:trPr>
          <w:tblHeader w:val="true"/>
          <w:cantSplit/>
        </w:trPr>
        <w:tc>
          <w:tcPr>
            <w:tcW w:type="dxa" w:w="209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觸發狀況</w:t>
            </w:r>
          </w:p>
        </w:tc>
        <w:tc>
          <w:tcPr>
            <w:tcW w:type="dxa" w:w="4196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當下處理</w:t>
            </w:r>
          </w:p>
        </w:tc>
        <w:tc>
          <w:tcPr>
            <w:tcW w:type="dxa" w:w="3858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統計／結案規則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任一構面未觀察或表單缺欄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標明缺漏欄、原因、發現時間及補測安排；不補 0。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未補完整前不列完整個案；揭露各指標有效 N。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K3=0，或出現未同意、越權、隱私暴露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停止該情境演練，依課程安全程序處理；主管檢視工具與教學。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即使總分 ≥6 仍判未通過；記錄限制存取，不保留多餘個資。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評分者差異超過 1 分或對 K3 判定不同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保留各自原始分；由受訓覆核角色回看去識別行為紀錄並記理由。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不得覆寫原始分；在摘要標示裁定值及覆核者角色。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前後測版本／難度不同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標記不可比，保留原因並決定重測或分開報告。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不得納入同一配對變化分母。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有效樣本為 0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確認缺件與補測可能性；保護原始資料。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平均與通過率報 N/A，寫明 N=0；不填 0%。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門檻、題目或目標要變更</w:t>
            </w:r>
          </w:p>
        </w:tc>
        <w:tc>
          <w:tcPr>
            <w:tcW w:type="dxa" w:w="41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先由有權限的角色檢核並記新版、原因、生效班次。</w:t>
            </w:r>
          </w:p>
        </w:tc>
        <w:tc>
          <w:tcPr>
            <w:tcW w:type="dxa" w:w="38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不得用後測結果回頭改門檻；版本不同的資料分開分析。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33"/>
        <w:gridCol w:w="4670"/>
        <w:gridCol w:w="3249"/>
      </w:tblGrid>
      <w:tr>
        <w:trPr>
          <w:tblHeader w:val="true"/>
          <w:cantSplit/>
        </w:trPr>
        <w:tc>
          <w:tcPr>
            <w:tcW w:type="dxa" w:w="2233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交接對象／步驟</w:t>
            </w:r>
          </w:p>
        </w:tc>
        <w:tc>
          <w:tcPr>
            <w:tcW w:type="dxa" w:w="4670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必交資料</w:t>
            </w:r>
          </w:p>
        </w:tc>
        <w:tc>
          <w:tcPr>
            <w:tcW w:type="dxa" w:w="3249"/>
            <w:vAlign w:val="center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17365D"/>
              <w:left w:val="single" w:sz="5" w:space="0" w:color="17365D"/>
              <w:bottom w:val="single" w:sz="5" w:space="0" w:color="17365D"/>
              <w:right w:val="single" w:sz="5" w:space="0" w:color="17365D"/>
              <w:insideH w:val="single" w:sz="5" w:space="0" w:color="17365D"/>
              <w:insideV w:val="single" w:sz="5" w:space="0" w:color="17365D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未完成時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評量角色（示範職務）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量尺版本、逐項原始評分、觀察事實、有效/缺漏標示、計算表及覆核紀錄。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資料不完整時標待補，不簽結論。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課程設計角色（示範職務）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未達標構面、補強活動、修訂版本及再評估安排。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不得把建議寫成已執行或已有效。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配套課程設計會議紀錄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只回寫核實後的工具、門檻與課程修訂決議；實際會議原件另存。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不得改寫會議示範來冒充實際決議。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真實化必要項</w:t>
            </w:r>
          </w:p>
        </w:tc>
        <w:tc>
          <w:tcPr>
            <w:tcW w:type="dxa" w:w="4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真實需求來源及日期、參訓者授權/同意、實際班次、評分者角色與校準、原始評分、工具版本、資料保管權限、核准與附件定位。</w:t>
            </w:r>
          </w:p>
        </w:tc>
        <w:tc>
          <w:tcPr>
            <w:tcW w:type="dxa" w:w="32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B8C5D1"/>
              <w:left w:val="single" w:sz="5" w:space="0" w:color="B8C5D1"/>
              <w:bottom w:val="single" w:sz="5" w:space="0" w:color="B8C5D1"/>
              <w:right w:val="single" w:sz="5" w:space="0" w:color="B8C5D1"/>
              <w:insideH w:val="single" w:sz="5" w:space="0" w:color="B8C5D1"/>
              <w:insideV w:val="single" w:sz="5" w:space="0" w:color="B8C5D1"/>
            </w:tcBorders>
            <w:shd w:fill="F4F7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color w:val="202938"/>
                <w:sz w:val="19"/>
              </w:rPr>
              <w:t>任一項缺證時仍標示 SAMPLE/待驗證；不可宣稱協會已辦訓、已核准或有效。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</w:p>
    <w:p>
      <w:pPr>
        <w:pStyle w:val="Heading2"/>
        <w:keepNext/>
      </w:pPr>
      <w:r>
        <w:t>未達門檻的改善追蹤示例（SAMPLE / SYNTHETIC）</w:t>
      </w:r>
    </w:p>
    <w:p>
      <w:pPr>
        <w:keepNext/>
        <w:spacing w:after="80"/>
      </w:pPr>
      <w:r>
        <w:t>下列 D04 只示範如何把未達門檻轉為有風險、責任角色、期限及後續交接的可追蹤安排；日期與角色皆為合成資料，未經協會核准且尚未執行。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i w:val="0"/>
          <w:color w:val="202938"/>
          <w:sz w:val="21"/>
        </w:rPr>
        <w:t>目前沒有協會實際簽到、學員評分、核准、課程執行或成效原件。本件不製作第三方原件或真人簽名。正式使用前，應由具權限角色逐項核實需求、課程、評量與成效來源；未核實的內容維持 SAMPLE / SYNTHETIC，不得宣稱協會已辦訓、已核准或已產生成效。</w:t>
      </w:r>
    </w:p>
    <w:p>
      <w:pPr>
        <w:keepLines/>
        <w:spacing w:after="80" w:line="259" w:lineRule="auto"/>
      </w:pPr>
      <w:r>
        <w:rPr>
          <w:rFonts w:ascii="Microsoft JhengHei" w:hAnsi="Microsoft JhengHei" w:eastAsia="Microsoft JhengHei"/>
          <w:b/>
          <w:color w:val="202938"/>
          <w:sz w:val="21"/>
        </w:rPr>
        <w:t>官方要求：</w:t>
      </w:r>
      <w:r>
        <w:rPr>
          <w:rFonts w:ascii="Microsoft JhengHei" w:hAnsi="Microsoft JhengHei" w:eastAsia="Microsoft JhengHei"/>
          <w:i w:val="0"/>
          <w:color w:val="202938"/>
          <w:sz w:val="21"/>
        </w:rPr>
        <w:t>勞動力發展署《TTQS 查核佐證文件資料表—訓練機構版》PDF 第 3 頁載明，課程規劃會議須展現訓練課程設計流程、擬定評量方法並作為訓練成效評估依據，且有佐證可查。本工具把評量設計轉成可使用的核對矩陣，並與配套會議示範使用同一組合成資料；這不表示任何實際會議獲協會核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045"/>
        <w:gridCol w:w="1699"/>
        <w:gridCol w:w="1584"/>
        <w:gridCol w:w="3154"/>
      </w:tblGrid>
      <w:tr>
        <w:trPr>
          <w:cantSplit/>
          <w:tblHeader w:val="true"/>
        </w:trPr>
        <w:tc>
          <w:tcPr>
            <w:tcW w:type="dxa" w:w="1757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差距／未達門檻</w:t>
            </w:r>
          </w:p>
        </w:tc>
        <w:tc>
          <w:tcPr>
            <w:tcW w:type="dxa" w:w="2045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示範風險</w:t>
            </w:r>
          </w:p>
        </w:tc>
        <w:tc>
          <w:tcPr>
            <w:tcW w:type="dxa" w:w="1699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示範期限／狀態</w:t>
            </w:r>
          </w:p>
        </w:tc>
        <w:tc>
          <w:tcPr>
            <w:tcW w:type="dxa" w:w="315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交接資料／結案規則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D04：後測 5/8；低於 6/8 門檻。</w:t>
            </w:r>
          </w:p>
        </w:tc>
        <w:tc>
          <w:tcPr>
            <w:tcW w:type="dxa" w:w="2045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K2 澄清摘要及 K4 交接未完整；屬訓練練習風險，不是實際服務事件。</w:t>
            </w:r>
          </w:p>
        </w:tc>
        <w:tc>
          <w:tcPr>
            <w:tcW w:type="dxa" w:w="1699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課程設計角色修訂練習；評量覆核角色以同版量尺評新情境。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2026-06-19（SAMPLE 目標期限）；本例尚未執行，沒有重評結果。</w:t>
            </w:r>
          </w:p>
        </w:tc>
        <w:tc>
          <w:tcPr>
            <w:tcW w:type="dxa" w:w="3154"/>
            <w:vAlign w:val="center"/>
            <w:tcMar>
              <w:top w:w="70" w:type="dxa"/>
              <w:bottom w:w="70" w:type="dxa"/>
              <w:start w:w="75" w:type="dxa"/>
              <w:end w:w="75" w:type="dxa"/>
            </w:tcMar>
            <w:shd w:fill="F2F6FA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移交修訂教材、責任與期限紀錄、等難度重評表；四項完整、總分至少 6/8 且 K3 至少 1 分才可結案。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835" w:bottom="835" w:left="83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67085"/>
        <w:sz w:val="16"/>
      </w:rPr>
      <w:t xml:space="preserve">SAMPLE / SYNTHETIC  ·  訓練評估工具  ·  第 </w:t>
    </w:r>
    <w:r>
      <w:rPr>
        <w:rFonts w:ascii="Microsoft JhengHei" w:hAnsi="Microsoft JhengHei" w:eastAsia="Microsoft JhengHei"/>
        <w:b w:val="0"/>
        <w:color w:val="667085"/>
        <w:sz w:val="16"/>
      </w:rPr>
      <w:fldChar w:fldCharType="begin"/>
      <w:instrText xml:space="preserve">PAGE</w:instrText>
      <w:fldChar w:fldCharType="end"/>
    </w:r>
    <w:r>
      <w:rPr>
        <w:rFonts w:ascii="Microsoft JhengHei" w:hAnsi="Microsoft JhengHei" w:eastAsia="Microsoft JhengHei"/>
        <w:b w:val="0"/>
        <w:color w:val="667085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667085"/>
        <w:sz w:val="16"/>
      </w:rPr>
      <w:t>SAMPLE / SYNTHETIC  ·  訓練評估工具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029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可操作評量矩陣；SAMPLE / SYNTHETIC 示範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