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 w:cs="Microsoft JhengHei"/>
          <w:b/>
          <w:color w:val="000000"/>
          <w:sz w:val="48"/>
        </w:rPr>
        <w:t>訓練方案系統設計改善執行與成效示範紀錄</w:t>
      </w:r>
    </w:p>
    <w:p>
      <w:pPr>
        <w:spacing w:after="160" w:line="274" w:lineRule="auto"/>
      </w:pPr>
      <w:r>
        <w:rPr>
          <w:rFonts w:ascii="Microsoft JhengHei" w:hAnsi="Microsoft JhengHei" w:eastAsia="Microsoft JhengHei" w:cs="Microsoft JhengHei"/>
          <w:b w:val="0"/>
          <w:color w:val="234B62"/>
          <w:sz w:val="24"/>
        </w:rPr>
        <w:t>文件 0038　｜　I08-E02　｜　官方具名方框序號 039</w:t>
      </w:r>
    </w:p>
    <w:p>
      <w:pPr>
        <w:spacing w:after="180" w:line="274" w:lineRule="auto"/>
      </w:pPr>
      <w:r>
        <w:rPr>
          <w:rFonts w:ascii="Microsoft JhengHei" w:hAnsi="Microsoft JhengHei" w:eastAsia="Microsoft JhengHei" w:cs="Microsoft JhengHei"/>
          <w:b w:val="0"/>
          <w:color w:val="8A4B16"/>
          <w:sz w:val="20"/>
        </w:rPr>
        <w:t>SAMPLE / SYNTHETIC COMPLETE EXAMPLE｜非原始點協會實際辦訓、核准、簽署或成效紀錄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這份紀錄供誰使用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供小型訓練機構承辦人檢討一項課程設計、記錄實際修改，並用同一量尺核對執行結果。行政人員可按本件順序完成找出缺口、比較方案、修訂課程、記錄樣本、重算結果及決定下一步；評核委員可查看官方需求、逐筆資料和判讀限制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本例的示範結論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完全虛構的兩組各12人資料中，講授為主組後測達標3/12（25.0%）；加入情境演練與回饋組達標11/12（91.7%）。修訂組平均分增加2.92/8分，對照組增加1.08/8分，兩組增益差1.83分。這些數字只示範記錄與計算，既非協會實績，也不能證明因果效果。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/>
          <w:color w:val="234B62"/>
          <w:sz w:val="21"/>
        </w:rPr>
        <w:t>唯一命題：</w:t>
      </w:r>
      <w:r>
        <w:rPr>
          <w:rFonts w:ascii="Microsoft JhengHei" w:hAnsi="Microsoft JhengHei" w:eastAsia="Microsoft JhengHei" w:cs="Microsoft JhengHei"/>
          <w:b w:val="0"/>
          <w:color w:val="172B35"/>
          <w:sz w:val="21"/>
        </w:rPr>
        <w:t>訓練設計改善是否有事前假設、可比較選項、具體改動、可重算執行結果及有限度的後續決定。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/>
          <w:color w:val="234B62"/>
          <w:sz w:val="21"/>
        </w:rPr>
        <w:t>案例：</w:t>
      </w:r>
      <w:r>
        <w:rPr>
          <w:rFonts w:ascii="Microsoft JhengHei" w:hAnsi="Microsoft JhengHei" w:eastAsia="Microsoft JhengHei" w:cs="Microsoft JhengHei"/>
          <w:b w:val="0"/>
          <w:color w:val="172B35"/>
          <w:sz w:val="21"/>
        </w:rPr>
        <w:t>SYN-I08E02-2026-01；假設課程「社區關懷志工服務溝通與轉介界線」。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/>
          <w:color w:val="234B62"/>
          <w:sz w:val="21"/>
        </w:rPr>
        <w:t>資料狀態：</w:t>
      </w:r>
      <w:r>
        <w:rPr>
          <w:rFonts w:ascii="Microsoft JhengHei" w:hAnsi="Microsoft JhengHei" w:eastAsia="Microsoft JhengHei" w:cs="Microsoft JhengHei"/>
          <w:b w:val="0"/>
          <w:color w:val="172B35"/>
          <w:sz w:val="21"/>
        </w:rPr>
        <w:t>全篇日期、角色、課程、樣本、量尺、分數、決定均為合成示範；沒有任何真人或協會原始紀錄。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/>
          <w:color w:val="234B62"/>
          <w:sz w:val="21"/>
        </w:rPr>
        <w:t>來源定位：</w:t>
      </w:r>
      <w:r>
        <w:rPr>
          <w:rFonts w:ascii="Microsoft JhengHei" w:hAnsi="Microsoft JhengHei" w:eastAsia="Microsoft JhengHei" w:cs="Microsoft JhengHei"/>
          <w:b w:val="0"/>
          <w:color w:val="172B35"/>
          <w:sz w:val="21"/>
        </w:rPr>
        <w:t>官方訓練機構版佐證表 I08 p.2；p.3為相鄰項續頁。本件對應 I08-E02。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使用方式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實際使用時，將 SAMPLE 欄位換成經授權可查的課程版本、執行與評量資料，再保存附件位置、去識別方式及覆核軌跡。沒有真實資料時，保留本件為示範稿，不得勾選成協會已執行或正式通過。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1　官方要求與本件工作邊界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官方文字：「針對訓練方案的系統設計能適時檢討及改善，執行後有良好效果。」本件以一項課程設計的缺口、替代方案、設計變更、執行記錄和結果判讀回應此命題；不以會議形式取代實際改善證據。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12"/>
        <w:gridCol w:w="5976"/>
        <w:gridCol w:w="2448"/>
      </w:tblGrid>
      <w:tr>
        <w:trPr>
          <w:tblHeader w:val="true"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對照項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本件如何處理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查核位置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官方定位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I08-E02；官方方框序號039；資料表p.2，續頁p.3。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本頁及來源索引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0038文類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執行與樣本紀錄；呈現操作流向、逐筆示範、計算和後續處置。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§2、§5–§9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0037負向鄰項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I08-E01重點是跨期設計變化；本件記錄一項改善的執行與效果，不代替跨期檢討。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差異說明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0039負向鄰項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I08-E03重點是規劃會議議程、意見、決議及追蹤；本件沒有假造會議或核准。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差異說明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真實界線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協會原始執行未驗證；案例獨立，不宣稱與0037或0039共用事實。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替換清冊與來源圖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合成案例的前提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本例假設承辦人發現講授與知識測驗不足以觀察志工的溝通、隱私及轉介界線，因此提出加入短情境演練的假設。這不是對原始點協會現行課程、服務對象、工作角色或既往成效的陳述。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1374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improvemen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74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2　設計缺口、觀察與方案比較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示範問題與可檢驗假設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合成基準設計假設為120分鐘講授為主，評量集中於知識題。它能檢查記憶，卻未直接觀察學習者是否說明服務目的、取得同意、保護資訊、守住非醫療界線並作適當轉介。此處只是示範設計假設，不是查得的協會課程缺陷。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假設：總時數、課程目標、量尺和評量時點相同時，以35分鐘情境演練與回饋取代部分講授，會提高學習者在等難度情境中展現目標行為的比例。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比較方案與示範評分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各項1–5分，5分代表較符合；加權分＝Σ（分數×權重），總分上限5.00。權重先於評分設定，合計100%。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60"/>
        <w:gridCol w:w="2232"/>
        <w:gridCol w:w="3024"/>
        <w:gridCol w:w="2520"/>
      </w:tblGrid>
      <w:tr>
        <w:trPr>
          <w:tblHeader w:val="true"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準則／權重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A 增加講義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B 情境演練＋回饋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C 外聘全日實作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可觀察行為證據 40%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2×.40=.80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5×.40=2.00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5×.40=2.00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小型課程可執行 25%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5×.25=1.25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4×.25=1.00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2×.25=.50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隱私／非醫療界線 20%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3×.20=.60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5×.20=1.00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5×.20=1.00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結果可追溯 15%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2×.15=.30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5×.15=.75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4×.15=.60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加權總分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2.95/5.00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4.75/5.00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4.10/5.00</w:t>
            </w:r>
          </w:p>
        </w:tc>
      </w:tr>
    </w:tbl>
    <w:p>
      <w:pPr>
        <w:spacing w:after="20"/>
      </w:pP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示範取捨：B得分最高且不增加總時數，以可觀察行為與回饋替代部分講授。A成本較低，但仍不能直接檢查行為；C觀察力較高，卻需更多經費及外部師資。上述分數與選擇是假設值，沒有協會正式決議。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從缺口到可驗證結果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2880"/>
        <w:gridCol w:w="2520"/>
        <w:gridCol w:w="2736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設計缺口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具體修改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可查結果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事前判定規則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只用知識題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加入情境演練，評D1、D2。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前後測向量及評分表。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總分≥6/8。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服務界線混淆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加入界線示範、兩情境練習和回饋。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D3、D4分數及異常覆核。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D3、D4均&gt;0。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改善無固定口徑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兩組同時數、同量尺、配對前後測。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逐筆資料、有效數和增益。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B達標率≥80%，關鍵失誤=0才建議續試。</w:t>
            </w:r>
          </w:p>
        </w:tc>
      </w:tr>
    </w:tbl>
    <w:p>
      <w:pPr>
        <w:spacing w:after="20"/>
      </w:pP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53656D"/>
          <w:sz w:val="19"/>
        </w:rPr>
        <w:t>本例沒有真實需求調查、職能盤點或先前實績支持此假設。真實執行時，須先附需求來源及版本差異再確認是否試作。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3　修訂後課程設計與執行安排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示範課程：「社區關懷志工服務溝通與轉介界線」。對象是假設的社區關懷志工學習者；不得推定協會已開辦。兩組總時數同為120分鐘。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120分鐘教學安排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979"/>
        <w:gridCol w:w="1944"/>
        <w:gridCol w:w="3816"/>
        <w:gridCol w:w="3197"/>
      </w:tblGrid>
      <w:tr>
        <w:trPr>
          <w:tblHeader w:val="true"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時間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活動與方法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引導者操作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學習者產出／檢核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00–10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情境前測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說明匿名代碼及評分；發等難度情境卡。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完成四項行為前測。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10–20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目的、同意與拒絕權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示範先說明目的並詢問是否願意繼續。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重述可停止及改約界線。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20–40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開放提問與中性摘要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示範開放問句，區分聆聽、推測和承諾。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完成摘要並確認理解。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40–55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隱私及非醫療界線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比較必要資訊與多餘細節；示範停止並轉介。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指出何時不記、不建議、不代替專業判斷。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55–80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兩人一組演練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輪替服務者與觀察者，每人至少完整演練一次。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依D1–D4記錄可見行為。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80–105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個別後測情境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用另一等難度情境評分，不提示答案。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四項分數及簡短觀察事實。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105–115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回饋與重試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說明具體行為後給一次練習；正式分數不覆寫。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完成回饋練習，保留首測值。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115–120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轉用計畫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提示選一項下次可採行的服務行為。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記錄一項可觀察行動。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目標與證據對應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76"/>
        <w:gridCol w:w="3888"/>
        <w:gridCol w:w="3672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可觀察目標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教學活動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評量證據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說明目的並取得同意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目的／拒絕權示範和演練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D1：先說明並取得同意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以開放問題理解需求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問句、摘要及理解確認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D2：開放提問與中性摘要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保護隱私並守住界線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必要資訊及非醫療界線情境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D3：隱私與角色界線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辨識超出角色問題並轉介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轉介流程示範及後測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D4：合宜路徑且不作保證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4　評量工具、量尺與資料控制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前後測用難度相當但不同的情境，避免直接重複答案；兩組使用同一量尺。每項0–2分，總分0–8；正式判定同時符合總分和關鍵項條件。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13"/>
        <w:gridCol w:w="2131"/>
        <w:gridCol w:w="2131"/>
        <w:gridCol w:w="2880"/>
        <w:gridCol w:w="1181"/>
      </w:tblGrid>
      <w:tr>
        <w:trPr>
          <w:tblHeader w:val="true"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0分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1分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2分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關鍵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D1 目的與同意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直接追問或假定同意。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說明目的或詢問意願，未同時做到。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先說明目的，再詢問是否願意並接受拒絕。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D2 開放提問與摘要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誘導或封閉主導，未確認理解。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做到開放提問或摘要其中一項。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開放提問、中性摘要並確認理解。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D3 隱私與服務界線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不必要蒐集／揭露，或提供超出角色判斷。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保護部分資訊，但界線不完整。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只記必要資訊，明確不診斷、不承諾醫療效果。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D4 適當轉介與後續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未轉介，或作未確認保證。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指出資源但未說明下一步。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說明適當聯繫及可確認後續，不保證結果。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是</w:t>
            </w:r>
          </w:p>
        </w:tc>
      </w:tr>
    </w:tbl>
    <w:p>
      <w:pPr>
        <w:spacing w:after="20"/>
      </w:pP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/>
          <w:color w:val="234B62"/>
          <w:sz w:val="20"/>
        </w:rPr>
        <w:t>達標規則：</w:t>
      </w:r>
      <w:r>
        <w:rPr>
          <w:rFonts w:ascii="Microsoft JhengHei" w:hAnsi="Microsoft JhengHei" w:eastAsia="Microsoft JhengHei" w:cs="Microsoft JhengHei"/>
          <w:b w:val="0"/>
          <w:color w:val="172B35"/>
          <w:sz w:val="20"/>
        </w:rPr>
        <w:t>總分至少6/8，且D3&gt;0、D4&gt;0。未達標保留原始分數，另記補強與重測；不得刪列或改寫為通過。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等難度情境與執行資料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152"/>
        <w:gridCol w:w="2952"/>
        <w:gridCol w:w="2952"/>
        <w:gridCol w:w="2592"/>
      </w:tblGrid>
      <w:tr>
        <w:trPr>
          <w:tblHeader w:val="true"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前測示例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後測示例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同等要求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目的與隱私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活動後談到家庭近況；志工不確定能否記錄及轉述。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電話關懷中對方談及不願公開的生活資訊並詢問保密。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說明目的、詢問同意、只記必要資訊、說清保密界線。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角色與轉介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對方問志工能否判斷身體不適原因。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對方請志工保證某項服務一定有效。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不診斷、不保證；說明適當專業聯繫路徑。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缺漏、重複與資料保存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40"/>
        <w:gridCol w:w="3672"/>
        <w:gridCol w:w="4536"/>
      </w:tblGrid>
      <w:tr>
        <w:trPr>
          <w:tblHeader w:val="true"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檢查點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本示範記錄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真實執行控制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同意與代碼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24列假設代碼；無姓名或聯絡方式。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未同意者不納入評量，只列合計與排除原因。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配對與重複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前後測配對24；重複代碼0。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以原件和日期核對；更正留軌跡，無法判定者列理由。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缺測與評分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缺測0；不以未達標作排除理由。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漏評不得補分；依事前規則列缺漏並報有效分母。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權限與保存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實際位置及存取權限UNKNOWN。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依核實保存期、權限、刪除和備份規則辦理。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5　樣本批次、納入規則與資料流向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本批次所有資料都是SAMPLE/SYNTHETIC。假設樣本框為24名符合條件的學習者，A、B兩組各12名；以下日期、渠道、同意狀態及排除數均非實際協會紀錄。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99"/>
        <w:gridCol w:w="5112"/>
        <w:gridCol w:w="3125"/>
      </w:tblGrid>
      <w:tr>
        <w:trPr>
          <w:tblHeader w:val="true"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全批次示範值</w:t>
            </w:r>
          </w:p>
        </w:tc>
        <w:tc>
          <w:tcPr>
            <w:tcW w:type="dxa" w:w="31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真實替換與核對來源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母體與樣本框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假設24名參加者；A與B各12名。</w:t>
            </w:r>
          </w:p>
        </w:tc>
        <w:tc>
          <w:tcPr>
            <w:tcW w:type="dxa" w:w="31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正式招生範圍、課程對象及去識別樣本框。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納入與排除規則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預先假設：同意參與、完成前後兩次評量、D1–D4均可評才納入有效配對。未同意、缺任一測或缺評項須記理由。</w:t>
            </w:r>
          </w:p>
        </w:tc>
        <w:tc>
          <w:tcPr>
            <w:tcW w:type="dxa" w:w="31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納入規則版本、同意紀錄、逐筆缺漏及排除清單。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日期與執行渠道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A組2026-09-08；B組2026-09-15。模擬紙本情境卡及匿名評分表。</w:t>
            </w:r>
          </w:p>
        </w:tc>
        <w:tc>
          <w:tcPr>
            <w:tcW w:type="dxa" w:w="31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實際日期、課程簽到、使用工具及原始評量表。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代碼與同意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A01–A12、B01–B12為合成代碼；假設同意24/24；不含姓名、電話或簽名。</w:t>
            </w:r>
          </w:p>
        </w:tc>
        <w:tc>
          <w:tcPr>
            <w:tcW w:type="dxa" w:w="31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合法同意及代碼對照保管方式；公開版只留去識別資料。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缺漏、重複與更正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有效24；缺漏0；重複0；排除0。B08加總覆核見§7；沒有其他更正。</w:t>
            </w:r>
          </w:p>
        </w:tc>
        <w:tc>
          <w:tcPr>
            <w:tcW w:type="dxa" w:w="31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原始列、重複檢查、差異版次、更正人及日期。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保存與存取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本候選無個資；協會實際保存位置、權限和期限均UNKNOWN。</w:t>
            </w:r>
          </w:p>
        </w:tc>
        <w:tc>
          <w:tcPr>
            <w:tcW w:type="dxa" w:w="31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協會核實的權限表、保存年限、刪除和備份紀錄。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樣本流向與分母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01"/>
        <w:gridCol w:w="835"/>
        <w:gridCol w:w="2333"/>
        <w:gridCol w:w="4867"/>
      </w:tblGrid>
      <w:tr>
        <w:trPr>
          <w:tblHeader w:val="true"/>
        </w:trPr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筆數</w:t>
            </w:r>
          </w:p>
        </w:tc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計算／判定</w:t>
            </w:r>
          </w:p>
        </w:tc>
        <w:tc>
          <w:tcPr>
            <w:tcW w:type="dxa" w:w="48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接觸合格樣本框</w:t>
            </w:r>
          </w:p>
        </w:tc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24</w:t>
            </w:r>
          </w:p>
        </w:tc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—</w:t>
            </w:r>
          </w:p>
        </w:tc>
        <w:tc>
          <w:tcPr>
            <w:tcW w:type="dxa" w:w="48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假設樣本框，不是協會名冊。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發出邀請</w:t>
            </w:r>
          </w:p>
        </w:tc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24</w:t>
            </w:r>
          </w:p>
        </w:tc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24/24</w:t>
            </w:r>
          </w:p>
        </w:tc>
        <w:tc>
          <w:tcPr>
            <w:tcW w:type="dxa" w:w="48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全數受邀，尚非回收數。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收到成對前後測</w:t>
            </w:r>
          </w:p>
        </w:tc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24</w:t>
            </w:r>
          </w:p>
        </w:tc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24/24</w:t>
            </w:r>
          </w:p>
        </w:tc>
        <w:tc>
          <w:tcPr>
            <w:tcW w:type="dxa" w:w="48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A組12、B組12；以代碼配對。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有效成對資料</w:t>
            </w:r>
          </w:p>
        </w:tc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24</w:t>
            </w:r>
          </w:p>
        </w:tc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有效率=24/24=100%</w:t>
            </w:r>
          </w:p>
        </w:tc>
        <w:tc>
          <w:tcPr>
            <w:tcW w:type="dxa" w:w="48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有效率=有效數÷回收成對數；分母是回收數。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排除／缺漏</w:t>
            </w:r>
          </w:p>
        </w:tc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</w:t>
            </w:r>
          </w:p>
        </w:tc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0筆</w:t>
            </w:r>
          </w:p>
        </w:tc>
        <w:tc>
          <w:tcPr>
            <w:tcW w:type="dxa" w:w="48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沒有因未達標而排除的列。</w:t>
            </w:r>
          </w:p>
        </w:tc>
      </w:tr>
    </w:tbl>
    <w:p>
      <w:pPr>
        <w:spacing w:after="20"/>
      </w:pP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53656D"/>
          <w:sz w:val="19"/>
        </w:rPr>
        <w:t>若成對回收數為0，有效率應寫N/A並註明無回收分母，不可填0%。24/24有效率只表示資料可計算，不等於達標率或學習效果。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19"/>
        </w:rPr>
        <w:t>共同欄位定義：每列保留case_id、合成日期、組別、渠道、同意／納入判定、D1–D4前後向量、缺漏／重複狀態及更正理由。真實執行時，原始附件路徑及覆核角色須可追查。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6　完整示範批次：比較組 A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A組示範日期為2026-09-08，渠道為模擬紙本情境評量；各列同意／納入與缺漏、重複、更正狀態見附表A。講授為主設計並非協會既有課程。向量順序D1/D2/D3/D4，合計與差值可直接重算。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A組逐筆結果｜講授為主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835"/>
        <w:gridCol w:w="1987"/>
        <w:gridCol w:w="720"/>
        <w:gridCol w:w="1987"/>
        <w:gridCol w:w="720"/>
        <w:gridCol w:w="792"/>
        <w:gridCol w:w="1224"/>
      </w:tblGrid>
      <w:tr>
        <w:trPr>
          <w:tblHeader w:val="true"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前測 D1/D2/D3/D4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前測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後測 D1/D2/D3/D4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後測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差值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A01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1/1/1/0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A02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A03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0/1/1/0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1/1/1/0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6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A05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1/1/1/0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A06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A07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6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A08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0/1/1/0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1/1/1/0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A09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A10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1/1/1/0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A11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2/1/2/2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7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+2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A12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</w:tbl>
    <w:p>
      <w:pPr>
        <w:spacing w:after="20"/>
      </w:pP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/>
          <w:color w:val="234B62"/>
          <w:sz w:val="19"/>
        </w:rPr>
        <w:t>A組小計：</w:t>
      </w:r>
      <w:r>
        <w:rPr>
          <w:rFonts w:ascii="Microsoft JhengHei" w:hAnsi="Microsoft JhengHei" w:eastAsia="Microsoft JhengHei" w:cs="Microsoft JhengHei"/>
          <w:b w:val="0"/>
          <w:color w:val="172B35"/>
          <w:sz w:val="19"/>
        </w:rPr>
        <w:t>前測總分44、後測總分57；平均由44/12=3.67升至57/12=4.75，平均增益13/12=1.08分；後測3/12達標，D3或D4為0者2/12。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7　完整示範批次：修訂組 B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B組是假設的同為120分鐘、加入情境演練、行為量尺與回饋的修訂設計。總時數、前後測計分及達標門檻與A組一致；兩組並非隨機分派。各列渠道、同意／納入與資料狀態見附表A。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B組逐筆結果｜情境練習與回饋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835"/>
        <w:gridCol w:w="1987"/>
        <w:gridCol w:w="720"/>
        <w:gridCol w:w="1987"/>
        <w:gridCol w:w="720"/>
        <w:gridCol w:w="792"/>
        <w:gridCol w:w="1224"/>
      </w:tblGrid>
      <w:tr>
        <w:trPr>
          <w:tblHeader w:val="true"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前測 D1/D2/D3/D4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前測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後測 D1/D2/D3/D4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後測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差值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B01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1/0/1/1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2/2/2/1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7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+4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B02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1/2/0/1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2/2/1/2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7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+3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B03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0/1/1/0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1/2/1/2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6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+4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2/2/2/2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+3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B05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1/2/1/2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6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+3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B06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2/1/0/1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6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+2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B07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2/1/2/2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7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+2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B08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0/1/0/1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+3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B09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2/2/2/2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+4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B10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1/1/0/1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1/2/1/2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6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+3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B11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1/2/1/1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2/2/1/2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7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+2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B12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1/0/2/1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1/1/2/2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6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+2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</w:tbl>
    <w:p>
      <w:pPr>
        <w:spacing w:after="20"/>
      </w:pP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/>
          <w:color w:val="234B62"/>
          <w:sz w:val="19"/>
        </w:rPr>
        <w:t>B組小計：</w:t>
      </w:r>
      <w:r>
        <w:rPr>
          <w:rFonts w:ascii="Microsoft JhengHei" w:hAnsi="Microsoft JhengHei" w:eastAsia="Microsoft JhengHei" w:cs="Microsoft JhengHei"/>
          <w:b w:val="0"/>
          <w:color w:val="172B35"/>
          <w:sz w:val="19"/>
        </w:rPr>
        <w:t>前測總分44、後測總分79；平均由44/12=3.67升至79/12=6.58，平均增益35/12=2.92分；後測11/12達標，D3或D4為0者0/12。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異常覆核 SYN-ANOMALY-001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B08後測向量1/1/1/2，加總為1+1+1+2=5分，低於6分門檻。覆核後與表列總分一致；D3=1、D4=2，關鍵界線通過。保留「未達標」，不刪除此筆、不補分，也不以回饋後重試分數覆寫正式後測。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13"/>
        <w:gridCol w:w="2952"/>
        <w:gridCol w:w="3528"/>
        <w:gridCol w:w="2232"/>
      </w:tblGrid>
      <w:tr>
        <w:trPr>
          <w:tblHeader w:val="true"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異常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核對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處置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資料影響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B08總分不足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原始向量重算5，與列值一致。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保留有效列並標未達；補練後須另建重測紀錄。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分母仍24；B組達標分子仍11。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8　計算、結果與可歸因界線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00"/>
        <w:gridCol w:w="2016"/>
        <w:gridCol w:w="2016"/>
        <w:gridCol w:w="4104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講授為主 A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修訂設計 B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重算方式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有效成對樣本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12/12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12/12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各組有效列數。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平均前測（0–8）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44/12=3.67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44/12=3.67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前測各列向量加總÷12。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平均後測（0–8）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57/12=4.75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79/12=6.58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後測各列向量加總÷12。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平均增益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(57−44)/12=1.08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(79−44)/12=2.92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平均後測−平均前測，單位分。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後測達標率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3/12=25.0%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11/12=91.7%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總分≥6且D3、D4均&gt;0。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關鍵項為0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2/12=16.7%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0/12=0%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D3或D4任一為0；分母各組12。</w:t>
            </w:r>
          </w:p>
        </w:tc>
      </w:tr>
    </w:tbl>
    <w:p>
      <w:pPr>
        <w:spacing w:after="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27388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_prepost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38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兩組差異怎麼讀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平均增益差=(79−44)/12−(57−44)/12=22/12=1.83分（0–8量尺）。後測達標率差=11/12−3/12=8/12=66.7個百分點。有效率24/24=100%是資料可用比例，不是學習成效；達標率按各組有效樣本計算。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示範判讀：B組達標率高於事前設定的80%，且關鍵項為0者為0；本案例內可記為「建議下一輪小規模續試，並對B08補強」。這不是協會已核准或已採行。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限制與退件條件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兩組都是合成小樣本，未隨機分派，也沒有真實出席、需求、評分者一致性或外部來源。基線平均相同只是示範資料設計，不能推論改善造成差異、母群效果或協會實際成效。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0"/>
        </w:rPr>
        <w:t>分母不明、量尺不一致、逐筆加總錯誤、以不及格為由刪列、關鍵項為0仍算通過、重複或缺漏未揭露、合成事實未登錄、虛構核准，任一出現即退回受影響內容。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9　後續處理、真實替換與查核索引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本例示範的後續工作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181"/>
        <w:gridCol w:w="3816"/>
        <w:gridCol w:w="2232"/>
        <w:gridCol w:w="2707"/>
      </w:tblGrid>
      <w:tr>
        <w:trPr>
          <w:tblHeader w:val="true"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時點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工作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責任角色（示範）</w:t>
            </w:r>
          </w:p>
        </w:tc>
        <w:tc>
          <w:tcPr>
            <w:tcW w:type="dxa" w:w="27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完成判定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執行前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取得正式課程版次，確認對象、評量用途及量尺版本。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課程承辦角色</w:t>
            </w:r>
          </w:p>
        </w:tc>
        <w:tc>
          <w:tcPr>
            <w:tcW w:type="dxa" w:w="27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有版本、來源和授權依據。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每次執行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記錄邀請、同意、配對、缺漏、排除及異常。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執行／資料角色</w:t>
            </w:r>
          </w:p>
        </w:tc>
        <w:tc>
          <w:tcPr>
            <w:tcW w:type="dxa" w:w="27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分母可重算，逐筆值可追源。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課後覆核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非原評分者抽核原始表與加總；更正留初值及理由。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覆核角色</w:t>
            </w:r>
          </w:p>
        </w:tc>
        <w:tc>
          <w:tcPr>
            <w:tcW w:type="dxa" w:w="27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範圍、差異、處置留痕。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下一輪前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比較真實基線與修訂結果；說明組成和評分差異。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承辦角色</w:t>
            </w:r>
          </w:p>
        </w:tc>
        <w:tc>
          <w:tcPr>
            <w:tcW w:type="dxa" w:w="27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限制、失敗個案及再測時點明確。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改成真實紀錄前的替換清單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172B35"/>
          <w:sz w:val="20"/>
        </w:rPr>
        <w:t>核對正式機構名稱、課程代碼、計畫版次及具權限的承辦角色。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172B35"/>
          <w:sz w:val="20"/>
        </w:rPr>
        <w:t>取得原版與修訂版課程計畫、需求／職能來源及變更記錄。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172B35"/>
          <w:sz w:val="20"/>
        </w:rPr>
        <w:t>以真實日期、納入規則、邀請／同意、前後測原表、出席及排除紀錄替換樣本。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172B35"/>
          <w:sz w:val="20"/>
        </w:rPr>
        <w:t>核驗評分者權限、量尺版次、校準、原始值、更正軌跡和資料保管權限。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172B35"/>
          <w:sz w:val="20"/>
        </w:rPr>
        <w:t>重算有效率、平均分、增益、達標率、關鍵項與限制；缺正式核准或簽章時保留UNKNOWN。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172B35"/>
          <w:sz w:val="20"/>
        </w:rPr>
        <w:t>逐筆更新 replacement register，記錄原件位置、去識別方式和覆核人。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官方與專案來源索引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16"/>
        <w:gridCol w:w="7920"/>
      </w:tblGrid>
      <w:tr>
        <w:trPr>
          <w:tblHeader w:val="true"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定位與用途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官方評核依據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訓練機構版佐證表 I08 p.2、續頁 p.3；PDF SHA記於SOURCE_MAP.md。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正式項次與藍圖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0038→I08-E02→官方序號039；對照目前Blueprint row、142序列及01/02/03規格。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相鄰要求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0037/I08-E01為多期設計檢討；0039/I08-E03為規劃會議。本案例不宣稱同案。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合成事實清冊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SYNTHETIC_REPLACEMENT_REGISTER.csv含case_id、doc_id、定位、REAL原件及核實角色。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官方要求逐項對照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附表B連結官方命題、紀錄欄位、來源、判定及覆核位置。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版本收據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SOURCE_MAP.md、BLUEPRINT_CURRENT_0038.jsonl、PROGRESS.json及manifest.json。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目前狀態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0"/>
        </w:rPr>
        <w:t>本件為CANDIDATE示範文件；逐項驗收狀態以隨附收據為準，協會正式接受未授與。此件只回應0038/I08-E02，不取代真實課程原件、0037跨期檢討或0039會議紀錄。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一次執行的控制順序（角色均為合成示範）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8"/>
        <w:gridCol w:w="1944"/>
        <w:gridCol w:w="4536"/>
        <w:gridCol w:w="2448"/>
      </w:tblGrid>
      <w:tr>
        <w:trPr>
          <w:tblHeader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負責角色（均為示範）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操作與控制點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輸出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定位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承辦角色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記錄官方要求、課程版次與缺口；推測不可寫成事實。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問題與來源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比較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設計覆核角色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用事前權重評分三方案並保留取捨。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方案比較表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修訂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課程引導角色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將可觀察目標對到活動、評分行為和通過規則。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變更表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執行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引導者／觀察者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同時數、同量尺完成兩組示範；記錄樣本流向。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逐筆樣本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覆核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資料覆核角色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核對加總、配對、缺漏、排除及關鍵界線。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覆核軌跡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判讀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承辦角色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計算比例與增益，列限制及下一步。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成效判讀</w:t>
            </w:r>
          </w:p>
        </w:tc>
      </w:tr>
    </w:tbl>
    <w:p>
      <w:pPr>
        <w:spacing w:after="20"/>
      </w:pP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53656D"/>
          <w:sz w:val="19"/>
        </w:rPr>
        <w:t>正式使用時須依協會實際章程、分工及資料權限確認角色；本表不構成現職指派或授權證據。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附表A　24筆合成樣本逐列追溯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本表逐列連結§6、§7的A01–A12、B01–B12分數紀錄。渠道、同意及納入均為合成假設，並非真人同意或協會實際執行證明；各列均符合本例預設完整配對條件。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37"/>
        <w:gridCol w:w="2232"/>
        <w:gridCol w:w="3528"/>
        <w:gridCol w:w="2376"/>
      </w:tblGrid>
      <w:tr>
        <w:trPr>
          <w:tblHeader w:val="true"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case_id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渠道（SYNTHETIC）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同意／納入判定（SYNTHETIC）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缺漏／重複／更正（SYNTHETIC）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A01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A02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A03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A04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A05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A06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A07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A08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A09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A10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A11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A12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B01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B02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B03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B04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B05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B06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B07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B08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B09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B10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B11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B12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</w:tbl>
    <w:p>
      <w:pPr>
        <w:spacing w:after="20"/>
      </w:pP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19"/>
        </w:rPr>
        <w:t>狀態定義：缺漏=未完成前後測或量尺項；重複=重複代碼列；更正=對原始值有更動。真實執行不得把未知狀態填0，須保留原值、原因、核對人及日期。每列REAL替換所需原件為合法同意／納入依據、課程簽到、匿名化前後測原表及更正／覆核軌跡；缺一項即維持UNKNOWN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附表B　官方要求、紀錄欄位與覆核位置對照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本表把官方命題拆成可查的紀錄鏈。SAMPLE資料只示範欄位與計算；REAL欄列出升格前必須取得的原件，不代表原始點協會已持有或核准。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45"/>
        <w:gridCol w:w="2376"/>
        <w:gridCol w:w="2376"/>
        <w:gridCol w:w="2045"/>
        <w:gridCol w:w="1656"/>
      </w:tblGrid>
      <w:tr>
        <w:trPr>
          <w:tblHeader w:val="true"/>
        </w:trPr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官方命題／查核問題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本件紀錄欄位與位置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SAMPLE來源／REAL替換原件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判定與限制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覆核位置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訓練方案系統設計是否適時檢討並改善？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設計缺口、可檢驗假設、加權方案、修訂活動、目標與評量對應。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SAMPLE：§2–§4；REAL：原版／修訂課程計畫、需求或職能來源、版本差異及授權依據。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示範方案B加權4.75/5.00；此為假設選擇，非協會決議。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§2方案比較表；§3時程與目標表；§9替換清單。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執行後是否有良好效果？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樣本框、前後測量尺、24筆逐列結果、有效分母、達標與增益。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SAMPLE：§5–§8及附表A；REAL：出席、合法同意、匿名前後測原表、評分者權限與覆核紀錄。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 3/12、B 11/12達標；合成小樣本、非隨機，不能推論因果或協會成效。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§5納入／樣本流向；§6–§7逐筆表；§8計算與限制。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每列資料能否追到執行狀態？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渠道、同意、納入理由、缺漏、重複及更正狀態。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SAMPLE：附表A逐列欄位與替換清冊；REAL：課程簽到、同意依據、逐筆原表、差異更正軌跡。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本例24列皆假設同意、納入，缺漏／重複／更正皆0；實際未知不得填0。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附表A；replacement register各SYN-A/B-ROW列；§5處理規則。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判定是否有來源且可覆核？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來源、公式、判定門檻、異常及限制。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SAMPLE：逐筆表、量尺、替換清冊；REAL：正式計畫、原始評量、核准量尺及資料權限記錄。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公式可重算；正式來源、核准與協會實績尚未驗證，維持SAMPLE。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§4量尺；§8彙總；§9來源索引；附表B。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color w:val="53656D"/>
        <w:sz w:val="17"/>
      </w:rPr>
      <w:t xml:space="preserve">候選文件・SYNTHETIC　｜　第 </w:t>
    </w:r>
    <w:fldSimple w:instr="PAGE"/>
    <w:r>
      <w:rPr>
        <w:rFonts w:ascii="Microsoft JhengHei" w:hAnsi="Microsoft JhengHei" w:eastAsia="Microsoft JhengHei" w:cs="Microsoft JhengHei"/>
        <w:b w:val="0"/>
        <w:color w:val="53656D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 w:cs="Microsoft JhengHei"/>
        <w:b w:val="0"/>
        <w:color w:val="53656D"/>
        <w:sz w:val="17"/>
      </w:rPr>
      <w:t>0038｜I08-E02｜完整示範資料，不代表協會實績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Microsoft JhengHei" w:hAnsi="Microsoft JhengHei" w:eastAsia="Microsoft JhengHei"/>
      <w:color w:val="172B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訓練方案系統設計改善執行與成效示範紀錄</dc:title>
  <dc:subject>TTQS ONE 0038 / I08-E02 / 官方序號039 / SAMPLE-SYNTHETIC</dc:subject>
  <dc:creator>TTQS ONE candidate document production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