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000000"/>
          <w:sz w:val="46"/>
        </w:rPr>
        <w:t>訓練資源採購與甄選管理辦法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4A5E6D"/>
          <w:sz w:val="24"/>
        </w:rPr>
        <w:t>訓練需求到履約結案的作業程序</w:t>
      </w:r>
    </w:p>
    <w:p>
      <w:pPr>
        <w:spacing w:before="0" w:after="12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本件依官方 I10-E01 佐證目的撰寫，說明如何依課程需求選擇師資、教材或合作廠商，並完成評估、採購、簽約、交付驗收與後續管理。案例數字、日期、角色、核定和結果均為 SAMPLE / SYNTHETIC，並非原始點協會實際採購、核准、辦訓或付款紀錄。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248"/>
      </w:tblGrid>
      <w:tr>
        <w:trPr>
          <w:tblHeader w:val="true"/>
          <w:cantSplit/>
        </w:trPr>
        <w:tc>
          <w:tcPr>
            <w:tcW w:type="dxa" w:w="144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文件資訊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2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文件對應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DOCX 0045｜I10-E01｜官方方框 047（非 DOCX 0047）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資源尚未選定、承諾費用或下單前使用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文類與讀者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標準作業程序；課程承辦、評選者、授權核定者及行政記錄人員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依第4章逐步留下需求、比較、核定、契約與履約紀錄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文件狀態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R03 SAMPLE / SYNTHETIC 草案；未生效、未經協會正式核定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先核對章程、實際授權、財務及保存規範，再決定是否採用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完成時應留下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需求與設計依據、資源規格、比較與利益迴避、核定、契約、驗收及績效紀錄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 是單案評選紀錄表；本辦法不代替其逐人原始評分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30秒使用說明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誰使用：承辦人提出需求並整理資料；未參與提案的評選者依事前公布條件比較；具實際授權的核定者決定是否採購；行政記錄人員保存往來、核定與履約資料。實際姓名、職稱及權限須依協會現行章程與授權文件核對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何時使用：課程需求與設計已可描述，但尚未選定師資、教材或合作廠商、尚未承諾費用或簽約時。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怎麼使用：確認需求與可用資源，定義規格和預算，事前鎖定評分尺規，蒐集同條件候選資料，完成利益迴避、比較及核定，再依書面約定驗收並記錄改善。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案例界線：第10章以 SYN-045-01 走讀一次。案例不證明協會做過該課程，也不與0044、0046、0047的任何真實個案建立連結。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 目的與官方要求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把課程需求轉成可比較的資源條件，並規定評估、採購、簽約和後續管理要留下哪些資料。承辦人按同一套步驟作業，評選者可沿著需求、規格、評分和核定理由追查選擇依據，接手人也能確認交付內容與原約定相符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官方查核佐證文件資料表第3頁的 I10-E01 原文為：「完整文書手冊與紀錄分析相關資料（具體明確紀錄展現課程設計時，有適當的流程進行師資、教材或合作廠商評估選擇，且流程應有適當的辦法進行評估、採購、簽約及後續管理作業流程）。」本程序以作業流程、判斷條件、責任與紀錄欄位回應這項要求；官方原文沒有規定本文件所用的價格級距、權重、分數門檻、年限或組織編制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正式使用前，協會須把示範值換成可核實的章程、授權表、財務流程、課程計畫及紀錄管理規範。未完成核定前，本稿不得當成現行制度、正式採購依據或真實績效證據。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2 適用範圍與名詞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適用於為一項已說明的課程需求，選擇外聘師資、內部講師、教材、場地／技術服務或合作廠商，並管理取得及交付過程。若使用既有免費資源而沒有採購，仍應留下需求、選用理由、權限及交付確認；不需為了套用本程序而虛構報價或契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888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3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本程序的意思</w:t>
            </w:r>
          </w:p>
        </w:tc>
        <w:tc>
          <w:tcPr>
            <w:tcW w:type="dxa" w:w="38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操作時確認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課程需求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由對象、任務、已知落差、學習目標與預期交付內容構成的需求描述。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能指出來源與分母；不把未查證的推測寫成調查結果。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對師資資格、教材內容、服務範圍、時程、可近用性、資料處理及交付方式的事前要求。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所有候選使用相同規格及詢價條件。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候選方案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可比較的師資／教材／服務組合及其書面回覆。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供應者身分與報價須有原始回覆支持；樣本代碼不是實際供應商。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履約驗收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依契約或訂單逐項比對交付物、數量、時間、品質及未結缺失。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驗收人不以付款或簽收替代品質核對。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事前門檻與實測結果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門檻是選擇或驗收前設定的規則；結果是交付後依原始資料計得的觀察值。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兩者分欄記錄，實測結果不得回頭改寫門檻。</w:t>
            </w:r>
          </w:p>
        </w:tc>
      </w:tr>
    </w:tbl>
    <w:p>
      <w:pPr>
        <w:spacing w:after="20" w:before="20"/>
      </w:pPr>
      <w:r>
        <w:t>內部講師路徑：承辦人在邀用前記錄講師資格／專長、需求適配、教學設計、可投入時段、教材及利益揭露；由未參與提案且無利益衝突的評選者依事前量尺評估，並記錄選用理由與內部安排。內部講師不是外部廠商，不要求虛構第三方報價或契約；報酬與成本依已核實的財務制度處理，找不到正式規則或授權者時停止邀用，交有權者決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 角色與職務分離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角色按工作責任定義，不預設原始點協會具有特定委員會、員工編制或財務權限。正式上線前，須依現行章程與授權文件把角色映射到實際職務；找不到合法授權者時停止承諾、下單與簽約，交由有權者釐清。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384"/>
        <w:gridCol w:w="2880"/>
        <w:gridCol w:w="2203"/>
      </w:tblGrid>
      <w:tr>
        <w:trPr>
          <w:tblHeader w:val="true"/>
          <w:cantSplit/>
        </w:trPr>
        <w:tc>
          <w:tcPr>
            <w:tcW w:type="dxa" w:w="161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28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不得單獨完成的事項</w:t>
            </w:r>
          </w:p>
        </w:tc>
        <w:tc>
          <w:tcPr>
            <w:tcW w:type="dxa" w:w="220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需求承辦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整理需求來源、課程設計、預算估算與規格；保管原始提案資料。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不得自行完成評分、核定及驗收全部環節。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需求單、課程設計、規格版本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逐項核對資格與回覆，申報利益關係，依同一量尺評分並寫理由。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有利益衝突者不得評該候選；不得自行改權重或門檻。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迴避聲明、個別評分、比較摘要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授權核定者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核實權限與預算後，核定、退回補件或否決；理由留痕。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不能以口頭同意取代紀錄；無權限者不得代核。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授權依據、核定日期、決定與理由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行政／採購記錄人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整理詢價、往返、訂購／契約、版本、交付及保存索引。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不代替實際簽約者或驗收者，不補造原件。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文件清單、收發日期、版本與存取紀錄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依事前條件檢點交付物，記錄缺失、補正及複驗。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不得把尚未補正或未交付項目標為合格。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驗收表、缺失通知、補正與複驗結果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最低分離與RACI：提案者不得獨自評分並核定自己的方案；評選者先揭露利益關係。每案記錄執行(R)、最終負責(A)、諮詢(C)、知會(I)：承辦與獨立評選者列R，僅以有效章程／書面授權核實的職務列A，C/I填實際角色，代理須記錄授權來源、範圍與期限。簽約與驗收分由具權限者處理。此為示範分工，不創設協會權限；人力不足時記錄原因並作第二覆核，無法核實A、代理或第二覆核者時暫停採購。正式使用前核對章程、授權與人力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4 作業流程與判斷點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作業順序如下。需求不明、授權不明、利益衝突未處理、預算不足或契約條件未完成時，不進入下一步。案例中的天數是合成操作目標，只有經正式核定後才成為協會時限。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52"/>
        <w:gridCol w:w="5371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步驟與時點</w:t>
            </w:r>
          </w:p>
        </w:tc>
        <w:tc>
          <w:tcPr>
            <w:tcW w:type="dxa" w:w="29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輸入與責任</w:t>
            </w:r>
          </w:p>
        </w:tc>
        <w:tc>
          <w:tcPr>
            <w:tcW w:type="dxa" w:w="537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操作、判斷與必要紀錄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 形成課程需求</w:t>
              <w:br/>
              <w:t>規格發出前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承辦人；需求來源、受訓對象及課程目標。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記錄來源、樣本數／分母及能力落差；定義學習目標、時數、對象與預期產物。需求不能回溯來源時，標為待確認並停止詢價。輸出：需求與課程設計摘要。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 定義資源規格</w:t>
              <w:br/>
              <w:t>邀請候選前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承辦人擬稿；授權核定者確認預算與權限。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區分外聘資源與內部講師。外聘候選收同版資格、報價及交付回覆；內部講師記錄資格／專長、需求適配、教學設計、時段、教材與利益揭露。事前固定適用面向、權重、門檻及資料界線；內部講師價格不適用時依第5章計分路徑。規格須能供候選回覆並在交付時驗收。輸出：同版規格及預算上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 蒐集候選方案</w:t>
              <w:br/>
              <w:t>依相同規格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記錄人發出同版邀請；承辦人整理回覆。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規則以三個可比較候選為目標。回覆不足時，以相同條件補詢一次；仍不足三個但至少兩個有效者，記錄原因並由有權者事前核准例外；少於兩個有效候選時暫停重尋。單一來源須走有權者書面核准的例外，不由承辦人自行決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 資格與利益迴避</w:t>
              <w:br/>
              <w:t>評分前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評選者逐人揭露；記錄人留存。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先檢查資格、範圍、時間、價格完整性和必要交付。利益衝突者退出該候選評分並記錄替代評選者；衝突無法排除或關係不明時暫停。輸出：合格名單及迴避紀錄。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 依事前量尺評分</w:t>
              <w:br/>
              <w:t>資料齊備後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無利益衝突的評選者；同一版本資料與量尺。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逐項評1至5分，每分附可核對理由；按第5章公式計算。未過資格或超預算者不進加權比較。保留個別分數及覆核方式，不以口頭平均掩蓋分歧。輸出：個別分數、加權表及推薦理由。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6 核定、採購與簽約</w:t>
              <w:br/>
              <w:t>承諾前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承辦人送件；授權核定者決定；有權簽約者簽署。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核對權限、預算、候選、評分、例外、利益迴避、付款條件與契約標的。核准前不得下單、承諾費用或要求供應者開始履約。契約寫明交付、期限、驗收、變更、資料、取消及補正約定。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 交付驗收</w:t>
              <w:br/>
              <w:t>每一里程碑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驗收者依契約；供方交付物與實際紀錄。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逐項核對內容、數量、格式、日期與品質。缺失標記不合格，列責任人與補正日期；補正後由驗收者複驗。未結缺失不得關案或請款。輸出：驗收紀錄與缺失處理軌跡。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 績效與結案</w:t>
              <w:br/>
              <w:t>交付完成後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承辦人彙整；驗收者覆核；記錄人歸檔。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將事前目標與實測值分開記錄；評估準時、交付完整、缺失補正及合作情形。結案核對合約／訂單、核定、驗收、異常處理與適用付款證據索引。缺原件就標示缺件，不以樣本替代。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判斷順序：需求與課程設計可追溯嗎？否，補查來源並暫停；是，資源規格與預算已事前核定嗎？否，退回核定；是，候選資格、利益迴避與價格完整嗎？否，剔除或補件並記錄；是，分數達門檻且授權者核定嗎？否，停止採購或走正式例外程序；是，書面簽約後履約。依契約驗收、關閉必要缺失後才結案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5 評估量尺與計算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本稿用六項事前公布的評估面向示範比較師資、教材或整體服務方案。正式採購前，承辦人依課程設計選用適用條件；若某項不適用，須在邀請候選前說明並調整權重至合計100%，不得收到報價後才改量尺。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77"/>
        <w:gridCol w:w="2448"/>
        <w:gridCol w:w="306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評估面向與權重</w:t>
            </w:r>
          </w:p>
        </w:tc>
        <w:tc>
          <w:tcPr>
            <w:tcW w:type="dxa" w:w="247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1至2分</w:t>
            </w:r>
          </w:p>
        </w:tc>
        <w:tc>
          <w:tcPr>
            <w:tcW w:type="dxa" w:w="24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306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4至5分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需求與目標符合度</w:t>
              <w:br/>
              <w:t>30%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主要需求未回應，或需大幅改寫課程才可使用。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涵蓋主要目標，但仍有一項需補強。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4分：目標與對象均對應；5分：逐項對應且交付內容可驗收。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師資資格與教學設計</w:t>
              <w:br/>
              <w:t>25%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資格資料不足或設計缺少練習／回饋。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具備所需資格，教學流程可執行。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4分：資格與方法均有佐證；5分：方法、教材與評量完整連到目標。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履約排程與回應</w:t>
              <w:br/>
              <w:t>15%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關鍵時程或責任未確認。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人員、時程與回應方式明確。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4分：節點清楚並留修正時間；5分：風險、代理與補救時程明確。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教材品質與可近用性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內容、格式或使用條件不符規格。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符合基本內容與格式要求。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4分：可讀、可用且版本可追；5分：另有可近用安排及品質檢查。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含稅交付總價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本面向不設定1分；2分：總價高於13,000元且不高於15,000元，符合事前上限者納入總評。逾上限或資料缺漏致不可比較者，依事前資格規則補正或排除；有效2分價格不得因分數本身排除。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依本節「可比較總價（新臺幣）」級距給分。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4分或5分依本節「可比較總價（新臺幣）」級距；低價不代表品質最佳。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風險、資料與服務管理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資料處理或異常責任未說明。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基本保密、變更與補正方式明確。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4分：資料最小化與補正責任可執行；5分：版本、存取及事件通報明確。</w:t>
            </w:r>
          </w:p>
        </w:tc>
      </w:tr>
    </w:tbl>
    <w:p>
      <w:pPr>
        <w:spacing w:after="20" w:before="20"/>
      </w:pPr>
      <w:r>
        <w:t>內部講師無對外採購價格時，事前標示價格面向「不適用」，不得給最低價分；其餘適用面向以「原權重 ÷ 適用面向原權重合計 × 100%」標準化，逐項公布並留存計算。依本稿示範非價格權重合計90%，標準化係數為100/90；各項新權重須於邀用前核定及通知。內外部候選混合比較時先建立同一公平尺規；無法形成可比口徑就分開評估，不把無報價當5分或逕行排名。上述數值與程序均為SAMPLE，須由有權者核實後替換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價格以可比較的含稅總價計，包含必要交通、教材、運送、授權及完成規格所需成本。以下是完整、互斥的SAMPLE級距，不是協會現行財務授權或法定採購金額；正式使用時必須由有權者以核定預算及財務規則替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584"/>
        <w:gridCol w:w="352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可比較總價（新臺幣）</w:t>
            </w:r>
          </w:p>
        </w:tc>
        <w:tc>
          <w:tcPr>
            <w:tcW w:type="dxa" w:w="15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價格分數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不高於9,000元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高於9,000元且不高於11,000元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高於11,000元且不高於13,000元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高於13,000元且不高於15,000元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納入總評，且須符合核定預算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不計分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超出SAMPLE預算上限，不進總評；重新核定後再詢價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加權總分 = Σ（單項權重 × 最終原始分數 ÷ 5）。兩名評選者先獨立評分；每項最終原始分數為兩人分數的算術平均，個別分數與理由均保留，不以事後協商覆寫。權重合計100%，分數範圍1至5，公式理論總分為20至100；依本稿價格門檻通過且價格項至少2分時，最低可能總分為22。示範門檻為70分。每項加權分保留兩位，總分四捨五入至一位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若同分，依事前規則先比較需求符合度加權分，再比較師資資格與教學設計，再比較履約排程與回應。仍同分時暫停決定，由有權核定者依已公告條件寫明理由；不得事後新增條件、抽籤或以未記錄的口頭偏好決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6 採購與契約控制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205"/>
        <w:gridCol w:w="39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契約／採購欄位</w:t>
            </w:r>
          </w:p>
        </w:tc>
        <w:tc>
          <w:tcPr>
            <w:tcW w:type="dxa" w:w="4205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簽約前必須確認</w:t>
            </w:r>
          </w:p>
        </w:tc>
        <w:tc>
          <w:tcPr>
            <w:tcW w:type="dxa" w:w="393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交付與變更時的處理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採購標的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課程名稱、師資／教材／服務範圍、數量、格式及不包含事項。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增減以書面變更記錄，重估費用與時程後由有權者核准。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價格與付款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含稅總價、分項價格、付款條件、請款文件及預算來源。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只依真實契約及驗收資料處理；示範稿不是發票或付款憑證。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時程與責任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準備、授課、教材交付、回覆、補正及各方窗口。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延期並列原定與實際日期、影響、替代安排及核定。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驗收與缺失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交付清單、合格條件、檢查方式、補正期限及複驗責任。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逐項留存結果、證據位置、缺失通知、補正及複驗。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資料與教材使用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個資範圍、存取、交付格式、保存／刪除責任及教材授權。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只依已核實的授權與契約處理，不推定可公開或可轉授權。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取消與爭議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取消、替代師資、不可交付、通報及聯絡方式。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先處理課程與受訓者影響，再由有權者依真實約定決定。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核定及契約文件須由實際具權限者簽署。權限來源、簽署人或原件尚未核實時，標示待核實；不得以示範核定欄、合成編號或文字簽名代替正式簽章。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7 交付驗收與履約管理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驗收前把契約約定轉成逐項檢查表。驗收者查看交付物本身及可用的收件／授課紀錄，記錄檢查日期、結果、缺失、責任人、期限及複驗。補正項目保留初檢結果與修正軌跡，不覆寫初次檢查。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439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7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事前驗收標準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證據與不合格處理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符合契約所列人員、時數、課程目標與服務內容。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用真實課表、授課紀錄和聯繫資料核對；變更須先核准。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版本、數量、內容、格式、可讀性與授權符合規格。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記版本及數量；缺頁、錯版或無法使用時列缺失，補正後複驗。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在約定日期完成各節點。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並列原定與實際日期，計算逾期日數；例外附原因及核定。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品質與回饋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依事前定義的工具收集回饋，保留分母與原始彙總。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計算有效份數／邀請份數及平均；缺資料標UNKNOWN，不補估。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缺失結案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重大缺失已處理，其他未結項目有核定責任與期限。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必要補正未完成時不作最終驗收；付款依正式契約及權限處理。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至少分開看三件事：事前目標是否清楚、交付是否符合約定、實測結果如何。例：滿意度目標4.0／5是事前門檻，4.2／5是依有效問卷計出的結果；實測值不得回填成目標。教材合格比例須有合格件數、檢查總件數和判準，不能把完成檢查誤稱教材品質得分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8 例外與升級處理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81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立即處理與紀錄</w:t>
            </w:r>
          </w:p>
        </w:tc>
        <w:tc>
          <w:tcPr>
            <w:tcW w:type="dxa" w:w="38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停止／升級條件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候選不足或回覆不可比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同版補詢一次，列聯繫對象、日期、缺件及未回覆。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少於兩個有效方案時停止；單一來源須有權者事前書面核准。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利益衝突或關係未明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評選者揭露並退出該候選評分；記錄替代評選者。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無獨立評選或衝突無法控制時暫停。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總價超過預算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不刪除必要需求以讓價格表面合格；重新估算或修訂規格。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有權者未重新核定前不得採購或簽約。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交付延誤或品質缺失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保留原期限、實況、影響、通知、補正及複驗。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可能影響開課或資料安全時立即通知授權者並處理替代方案。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個資、教材權利或資料事件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限制存取，保存必要事實並依正式事件流程通報。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處理規範或授權未核實時停止傳送／使用資料。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授權、簽章或原件缺失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標示缺件、所需來源、責任角色與追補狀態。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不得補造簽名、報價、契約、發票、核准或第三方證明。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例如兩個工作日內回覆一般補件、重大交付異常當日通報，只有在正式核定後才可成為協會時限。示範稿不自行賦予協會法定期限或內規。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9 紀錄、存取與檢討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08"/>
        <w:gridCol w:w="3312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</w:t>
            </w:r>
          </w:p>
        </w:tc>
        <w:tc>
          <w:tcPr>
            <w:tcW w:type="dxa" w:w="460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最低欄位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保管與替換來源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需求與課程設計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來源、日期、對象、分母、落差、目標、時數與需求核定。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保存原始調查／訪談或正式需求資料；合成案例不當真實調查。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資源規格與詢價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版本、預算、條件、邀請對象、發送／回覆日期及報價明細。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保存原始詢價與回覆；核對總價含稅、交通、教材及服務。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評估與核定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利益揭露、個別分數、理由、公式、例外、推薦及授權。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保留原始分數與修正軌跡；0046是同要求單案評選表。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採購與履約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訂單／契約、標的、金額、里程碑、變更、交付、驗收及缺失閉環。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由有權來源取得原件；不能公開的原件留在授權位置並記索引。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績效與結案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目標、實測、分子分母、日期、限制、結案核對與改善事項。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承辦人彙整、驗收者覆核，依正式紀錄規範存取與保存。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本稿不替協會指定正式保存年限。第10章的五年只是合成示範參數，須用協會已核定且適用的保存規範替換；未取得規範前，不得宣稱五年是法律、政府或TTQS要求。存取以工作所需為限，公開資料前確認權限。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結案後可依真實資料統計準時交付率、完整驗收率、缺失補正時間與有效回饋率。指標須寫明分子、分母及期間；樣本小時同時列件數。跨年度制度檢討屬0047 I10-E02，不由本件虛構多年成果。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10 完整合成案例走讀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以下案例只演示本程序如何從需求走到履約檢查。SYN-045-01 與0044、0046、0047或任何真實課程都沒有已核實的連結。日期、角色、候選資料、評分、核定及交付結果均為虛構；示範核定不是原始點協會的決議。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10.1 課程需求與規格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案例內容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案例與課程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SYN-045-01｜志工服務溝通與紀錄整理工作坊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合成代碼；不是協會實際課程名稱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需求來源與日期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模擬盤點日2026-05-04；12位預定參與者。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合成盤點表；正式使用需真實需求原件與分母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能力落差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8／12尚需練習服務紀錄撰寫；7／12尚需練習個資情境判斷。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兩項各自以12為分母，不是互斥人數；不得相加為15人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目標與設計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12小時、兩次各6小時；練習情境紀錄、回饋修訂及個資判斷。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合成規格；正式目標需由真實權責人核定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預算與總價口徑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示範上限新臺幣15,000元；總價含稅、交通、教材及交付。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不是協會現行預算或財務核決門檻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詢價05-06；收件05-11；評分05-12；案例核定05-15；簽約05-18；授課06-01及06-08；結案檢視06-22，均為2026年。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全為合成日期；簽署或付款原件不存在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資源規格要求：師資帶領志工情境演練；兩次共12小時；課前交付流程及教材樣稿；提供12份最終教材；教材包含紀錄練習與個資情境；開課前完成修正；全案含稅總價不超過15,000元。每個候選依相同規格回覆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10.2 合格檢查與候選方案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328"/>
        <w:gridCol w:w="1512"/>
        <w:gridCol w:w="2016"/>
      </w:tblGrid>
      <w:tr>
        <w:trPr>
          <w:tblHeader w:val="true"/>
          <w:cantSplit/>
        </w:trPr>
        <w:tc>
          <w:tcPr>
            <w:tcW w:type="dxa" w:w="12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合成候選</w:t>
            </w:r>
          </w:p>
        </w:tc>
        <w:tc>
          <w:tcPr>
            <w:tcW w:type="dxa" w:w="53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5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20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門檻檢查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方案A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師資A、教材A；主題符合，個資案例較少；回覆兩次授課時段及教材交付。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資格、時程、交付符合；價格級距2分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師資B與共同備課教材；逐項回應兩項能力落差，列出流程、教材樣稿、修訂節點及授課時段。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資格、時程、交付符合；價格級距3分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方案C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師資C與教材套件；成本最低，紀錄練習充足，但個資情境及課後修訂說明較少。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資格、時程、交付符合；價格級距5分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三份候選回覆及證明文件都是案例中的合成材料，不是真實廠商報價。案例假設兩名合成評選者E01、E02均先完成利益揭露且無需迴避；代碼及申報都不是真實協會紀錄。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10.3 評分與計算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下表列兩位評選者各項分數的算術平均；下一表保留E01與E02的原始分數及理由。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979"/>
        <w:gridCol w:w="979"/>
        <w:gridCol w:w="979"/>
        <w:gridCol w:w="491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方案A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方案B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方案C</w:t>
            </w:r>
          </w:p>
        </w:tc>
        <w:tc>
          <w:tcPr>
            <w:tcW w:type="dxa" w:w="491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計分依據摘要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需求符合度30%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A逐項涵蓋；B涵蓋主要需求；C個資情境較少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師資與教學25%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B的練習、回饋與目標連結完整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排程與回應15%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B列兩次時段、交付和修訂節點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B樣稿符合格式並列版本修訂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依9,000／11,000／13,000／15,000元互斥級距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B列資料界線與補正方式；C未充分說明補正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加權總分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82.0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88.0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77.0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權重×原始分÷5後加總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示範門檻70分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僅為案例門檻，不是現行核定標準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下表保留兩名評選者的原始分數。每一列的最終分數等於E01與E02之和除以2；個別理由有差異時也保留差異，不把平均值說成兩人原本給出相同分數。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01"/>
        <w:gridCol w:w="792"/>
        <w:gridCol w:w="792"/>
        <w:gridCol w:w="792"/>
        <w:gridCol w:w="5011"/>
      </w:tblGrid>
      <w:tr>
        <w:trPr>
          <w:tblHeader w:val="true"/>
          <w:cantSplit/>
        </w:trPr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190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E02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501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依據與差異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資格資料及教學流程符合規格。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列兩次時段及交付；修訂節點說明較少，保留兩人原分。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格式符合要求，版本與可近用安排一般。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14,000元落在高於13,000元且不高於15,000元區間。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有資料處理與補正說明；兩人對細節充分度判斷不同。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主要需求均回應，尚有一項可再補強。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教學方法、教材與評量完整連到目標。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兩次時段、交付及修訂節點均明確。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樣稿、版本修訂及可近用安排均列明。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12,000元落在高於11,000元且不高於13,000元區間。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有紀錄練習但個資情境較少，兩人對覆蓋程度評分不同。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資格與基本教學流程符合。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9,000元不高於最低價格級距。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具基本服務說明，補正細節有限。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逐步重算：方案B = (30×4÷5) + (25×5÷5) + (15×5÷5) + (10×5÷5) + (10×3÷5) + (10×4÷5) = 24 + 25 + 15 + 10 + 6 + 8 = 88.0。方案A = 30 + 20 + 12 + 8 + 4 + 8 = 82.0；方案C = 24 + 20 + 9 + 8 + 10 + 6 = 77.0。權重合計100；三案均高於70分案例門檻。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案例推薦方案B，因總分88.0最高且符合資格、排程、交付和價格條件。方案C雖最便宜，不能只按最低價選定；方案B的優勢來自需求、教學、教材及補正安排。推薦與核定均非協會真實決議。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10.4 回饋與案例結案判斷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024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日期／事件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合成紀錄內容</w:t>
            </w:r>
          </w:p>
        </w:tc>
        <w:tc>
          <w:tcPr>
            <w:tcW w:type="dxa" w:w="30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2026-05-12評分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兩名合成評選者依同版量尺獨立評分，保留原始分數與理由。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 88.0分；合成案例假設無利益衝突；非真實評選紀錄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2026-05-15核定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合成角色A01依本案例設定確認推薦方案及15,000元上限。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流程演示；沒有真人核定、簽章或組織授權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2026-05-18契約條件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合成代碼SYN-CT-045-01；總價12,000元；兩次各6小時、12份教材及開課前修訂。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不是契約、報價、發票或付款證明；未有真實用印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2026-05-29教材初檢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合成檢查發現兩份樣張頁碼索引未更新，通知方案B修正。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一項可補正缺失；保留初檢結果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2026-05-30複驗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合成複驗確認12份最終教材頁碼一致，課程流程及個資情境已納入。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示範缺失閉環；非真實收件或驗收紀錄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2026-06-01及06-08授課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兩次各6小時，合計12／12約定小時；12／12份最終教材可用。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純合成情境，不證明協會曾辦訓或實際交付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2026-06-22結案檢視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10／12份有效回饋；4人給5分、4人給4分、2人給3分。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平均4.2／5；有效回覆率83.3%；純合成示例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回饋計算：有效回覆率 = 10 ÷ 12 × 100% = 83.3%（四捨五入到小數一位）；平均滿意度 = (4×5 + 4×4 + 2×3) ÷ 10 = 42 ÷ 10 = 4.2／5。案例預設事前目標至少4.0／5，因此4.2／5在本合成案例達到示範目標。問卷分數不是實際參與者資料。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結案判斷：授課完成12／12小時，最終教材完成12／12份，一項頁碼缺失在授課前複驗關閉，有效問卷10／12，平均4.2／5高於案例事前目標4.0／5。這只演示如何判斷；付款、簽約、授權及原件均須由真實來源核實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10.5 案例參數與正式替換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權重、70分門檻、價格級距、15,000元上限、4.0／5回饋目標及五年示範保存期都是未核定的合成參數，並非官方要求或協會現行制度。五年只展示如何登錄保存參數，不主張任何法律或政府依據。逐項替換來源、定位及責任角色見本封包的SYNTHETIC_REPLACEMENT_REGISTER_R03.csv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11 表單與檢查清單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正式採購時，承辦人至少確認下列欄位完整。單案的候選與個別評分填入0046《師資教材廠商評選紀錄表》；本節只列程序必要控制，不複製0046的完整表單。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357"/>
        <w:gridCol w:w="292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53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必填檢查欄位</w:t>
            </w:r>
          </w:p>
        </w:tc>
        <w:tc>
          <w:tcPr>
            <w:tcW w:type="dxa" w:w="292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來源／日期／分母；能力落差；學習目標；時數與對象；資源必要性。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每項需求有來源，且連到資源規格與驗收條件。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詢價與比較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同版規格；候選來源；回覆日期；總價範圍；資格；利益揭露；事前權重與門檻。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資料可比較；例外已由有權者事前核定。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核定與採購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推薦理由；預算來源；授權依據；核定職務／日期／決定；訂購或契約版本。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正式權限及原件可核對；缺件時不承諾。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驗收與結案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約定與實際值；交付證據；分子分母；缺失與複驗；結案及保存位置。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必要缺失已關閉或由有權者作成具理由處置，原件可追溯。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12 相關文件與工作界線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032"/>
        <w:gridCol w:w="352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對應工作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本件如何銜接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0045｜I10-E01｜訓練資源採購與甄選管理辦法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本SOP的需求、評估、採購、簽約與後續管理。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本件主文，規定制度流程及判斷控制。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0046｜I10-E01｜師資教材廠商評選紀錄表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一個採購案的候選、個別評分、理由與核定索引。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依本程序填單案紀錄；兩件文類不同。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0047｜I10-E02｜採購簽約與後續管理檢討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跨年度檢討、趨勢比較及制度改善分析。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本件保存單案結果供後續分析，不代替多年檢討。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0044｜I09-E04｜討論會議或電子郵件完整紀錄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會議及郵件內容、簽核與存檔紀錄。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採購往來依正式規範歸檔，本件不代替原始紀錄。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遮住標題及編號後，本件仍可由需求、規格、候選評估、授權採購、契約、驗收及履約檢討的完整流程辨識為採購與甄選管理程序。0044、0046、0047各有不同工作物；共用資料時引用來源索引，不複製其正文或虛構同一案例關聯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13 版本修訂紀錄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5112"/>
        <w:gridCol w:w="216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65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</w:t>
            </w:r>
          </w:p>
        </w:tc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核定狀態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R01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依I10-E01及Unique Blueprint建立新示範程序，並製作合成案例與逐事實替換簿。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候選草案；未生效、未核定、無簽章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R02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依R01獨立語意審查修正表格交叉引用、角色RACI與授權代理說明、案例段落標題，並補齊逐事實替換簿欄位。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候選修訂；未生效、未核定、無簽章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R03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依R02 exact-SHA 獨立審查修正價格評分矛盾、補入內部講師適用路徑、改為描述式價格級距引用，並釐清官方方框047與DOCX 0047不同。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候選修訂；未生效、未核定、無簽章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E6873"/>
        <w:sz w:val="17"/>
      </w:rPr>
      <w:t xml:space="preserve">0045 R03　｜　未經協會正式核定　｜　第 </w:t>
    </w:r>
    <w:r>
      <w:rPr>
        <w:rFonts w:ascii="Microsoft JhengHei" w:hAnsi="Microsoft JhengHei" w:eastAsia="Microsoft JhengHei"/>
        <w:b w:val="0"/>
        <w:color w:val="5E6873"/>
        <w:sz w:val="17"/>
      </w:rPr>
    </w:r>
    <w:fldSimple w:instr="PAGE"/>
    <w:r>
      <w:rPr>
        <w:rFonts w:ascii="Microsoft JhengHei" w:hAnsi="Microsoft JhengHei" w:eastAsia="Microsoft JhengHei"/>
        <w:b w:val="0"/>
        <w:color w:val="5E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6A737D"/>
        <w:sz w:val="17"/>
      </w:rPr>
      <w:t>SAMPLE / SYNTHETIC　｜　未生效示範稿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DOCX 0045 / I10-E01 / official checkbox 047 / SAMPLE SYNTHETIC candidate R01</dc:subject>
  <dc:creator>TTQS ONE candidate authoring</dc:creator>
  <cp:keywords>SAMPLE; SYNTHETIC; 0045; I10-E01; checkbox 047</cp:keywords>
  <dc:description>Candidate only. No Association approval, procurement, signature, contract, payment, delivery, or actual training is represented.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