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60"/>
        <w:jc w:val="center"/>
      </w:pPr>
      <w:r>
        <w:rPr>
          <w:rFonts w:ascii="Microsoft JhengHei" w:hAnsi="Microsoft JhengHei" w:eastAsia="Microsoft JhengHei"/>
          <w:b/>
          <w:color w:val="183B50"/>
          <w:sz w:val="40"/>
        </w:rPr>
        <w:t>師資教材廠商評選紀錄表</w:t>
      </w:r>
    </w:p>
    <w:p>
      <w:pPr>
        <w:keepNext/>
        <w:spacing w:after="200"/>
        <w:jc w:val="center"/>
      </w:pPr>
      <w:r>
        <w:rPr>
          <w:rFonts w:ascii="Microsoft JhengHei" w:hAnsi="Microsoft JhengHei" w:eastAsia="Microsoft JhengHei"/>
          <w:b w:val="0"/>
          <w:color w:val="52636E"/>
          <w:sz w:val="22"/>
        </w:rPr>
        <w:t>單案需求、候選比較、逐項評分、核定與交付追蹤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21"/>
        </w:rPr>
        <w:t>用途：在訓練需求與同一規格的候選方案已備妥後，逐案記錄師資、教材或合作廠商的可比評選、理由、覆核及後續採購／交付追蹤。這是單案紀錄表；制度流程見 0045，不是會議原始紀錄或年度檢討。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color w:val="8B3B32"/>
          <w:sz w:val="19"/>
        </w:rPr>
        <w:t>本頁及全表為 SAMPLE / SYNTHETIC 示範。所有角色、日期、候選、報價、分數、決議、附件代碼與結果均為合成內容；不得作為原始點協會曾評選、核准、簽約、付款或辦訓的證明。</w:t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1. 單案識別與使用控制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728"/>
        <w:gridCol w:w="3240"/>
        <w:gridCol w:w="2376"/>
      </w:tblGrid>
      <w:tr>
        <w:trPr>
          <w:cantSplit/>
          <w:tblHeader w:val="true"/>
        </w:trPr>
        <w:tc>
          <w:tcPr>
            <w:tcW w:type="dxa" w:w="223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合成事實ID／欄位</w:t>
            </w:r>
          </w:p>
        </w:tc>
        <w:tc>
          <w:tcPr>
            <w:tcW w:type="dxa" w:w="172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欄位用途</w:t>
            </w:r>
          </w:p>
        </w:tc>
        <w:tc>
          <w:tcPr>
            <w:tcW w:type="dxa" w:w="324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完整填寫示例</w:t>
            </w:r>
          </w:p>
        </w:tc>
        <w:tc>
          <w:tcPr>
            <w:tcW w:type="dxa" w:w="237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填寫與驗證責任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SYN-046-001</w:t>
            </w:r>
          </w:p>
        </w:tc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紀錄編號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SYN-046-01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需求承辦；核對來源與必填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SYN-046-002</w:t>
            </w:r>
          </w:p>
        </w:tc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需求案號</w:t>
            </w:r>
          </w:p>
        </w:tc>
        <w:tc>
          <w:tcPr>
            <w:tcW w:type="dxa" w:w="324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SYN-045-01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需求承辦；核對來源與必填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SYN-046-003</w:t>
            </w:r>
          </w:p>
        </w:tc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課程名稱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志工服務溝通與紀錄整理工作坊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課程負責人；核對來源與必填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SYN-046-004</w:t>
            </w:r>
          </w:p>
        </w:tc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需求盤點日</w:t>
            </w:r>
          </w:p>
        </w:tc>
        <w:tc>
          <w:tcPr>
            <w:tcW w:type="dxa" w:w="324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2026-05-04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需求承辦；核對來源與必填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SYN-046-005</w:t>
            </w:r>
          </w:p>
        </w:tc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評選日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2026-05-12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評選召集／紀錄人；核對來源與必填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SYN-046-006</w:t>
            </w:r>
          </w:p>
        </w:tc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角色代碼</w:t>
            </w:r>
          </w:p>
        </w:tc>
        <w:tc>
          <w:tcPr>
            <w:tcW w:type="dxa" w:w="324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R01、E01、E02、A01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填表人／權責者；核對來源與必填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SYN-046-007</w:t>
            </w:r>
          </w:p>
        </w:tc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官方追溯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I10-E01；官方方框 047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品質承辦；核對來源與必填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2. 何時填、怎麼使用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112"/>
        <w:gridCol w:w="2664"/>
      </w:tblGrid>
      <w:tr>
        <w:trPr>
          <w:cantSplit/>
          <w:tblHeader w:val="true"/>
        </w:trPr>
        <w:tc>
          <w:tcPr>
            <w:tcW w:type="dxa" w:w="180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工作時點</w:t>
            </w:r>
          </w:p>
        </w:tc>
        <w:tc>
          <w:tcPr>
            <w:tcW w:type="dxa" w:w="511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本表操作</w:t>
            </w:r>
          </w:p>
        </w:tc>
        <w:tc>
          <w:tcPr>
            <w:tcW w:type="dxa" w:w="266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完成輸出與檢查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承諾／採購前</w:t>
            </w:r>
          </w:p>
        </w:tc>
        <w:tc>
          <w:tcPr>
            <w:tcW w:type="dxa" w:w="51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先凍結需求與評分權重；將同規格邀請、收件與資格證據依序編號。</w:t>
            </w:r>
          </w:p>
        </w:tc>
        <w:tc>
          <w:tcPr>
            <w:tcW w:type="dxa" w:w="266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候選可以比較；超預算或必要資格不符者不得靠加權分數補救。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候選評分時</w:t>
            </w:r>
          </w:p>
        </w:tc>
        <w:tc>
          <w:tcPr>
            <w:tcW w:type="dxa" w:w="51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評選人先各自評分，再記錄原分、證據、理由、差異與平均。</w:t>
            </w:r>
          </w:p>
        </w:tc>
        <w:tc>
          <w:tcPr>
            <w:tcW w:type="dxa" w:w="266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兩人分數不可事後協商改寫；差異與原始值保留。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建議／核定時</w:t>
            </w:r>
          </w:p>
        </w:tc>
        <w:tc>
          <w:tcPr>
            <w:tcW w:type="dxa" w:w="51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列出排序、門檻、推薦理由、限制、核定權限與日期。</w:t>
            </w:r>
          </w:p>
        </w:tc>
        <w:tc>
          <w:tcPr>
            <w:tcW w:type="dxa" w:w="266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評選建議與正式核准分開；沒有權限或原件時不代表核准。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履約／結案時</w:t>
            </w:r>
          </w:p>
        </w:tc>
        <w:tc>
          <w:tcPr>
            <w:tcW w:type="dxa" w:w="51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連結契約、交付、缺失、補正、複驗及成效材料。</w:t>
            </w:r>
          </w:p>
        </w:tc>
        <w:tc>
          <w:tcPr>
            <w:tcW w:type="dxa" w:w="266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每個缺失有責任人、期限、證據位置與關閉條件。</w:t>
            </w:r>
          </w:p>
        </w:tc>
      </w:tr>
    </w:tbl>
    <w:p>
      <w:pPr>
        <w:pageBreakBefore/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複製本表作新案使用時，建立新紀錄編號、保留同規格比較原則，替換所有 SYNTHETIC 值及附件定位，並由有權限者按真實制度核定；不可直接把本示例改名後當成真實評選紀錄。</w:t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3. 需求與評選規格（候選邀請前固定）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744"/>
        <w:gridCol w:w="2376"/>
        <w:gridCol w:w="1656"/>
      </w:tblGrid>
      <w:tr>
        <w:trPr>
          <w:cantSplit/>
          <w:tblHeader w:val="true"/>
        </w:trPr>
        <w:tc>
          <w:tcPr>
            <w:tcW w:type="dxa" w:w="180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需求／規格欄位</w:t>
            </w:r>
          </w:p>
        </w:tc>
        <w:tc>
          <w:tcPr>
            <w:tcW w:type="dxa" w:w="374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完整示例值</w:t>
            </w:r>
          </w:p>
        </w:tc>
        <w:tc>
          <w:tcPr>
            <w:tcW w:type="dxa" w:w="237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資料來源／附件定位（示例碼）</w:t>
            </w:r>
          </w:p>
        </w:tc>
        <w:tc>
          <w:tcPr>
            <w:tcW w:type="dxa" w:w="165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填寫／驗證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需求來源與日期</w:t>
            </w:r>
          </w:p>
        </w:tc>
        <w:tc>
          <w:tcPr>
            <w:tcW w:type="dxa" w:w="37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2026-05-04；需求盤點資料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SAMPLE-LOC/SYN-045-01/01-demand</w:t>
            </w:r>
          </w:p>
        </w:tc>
        <w:tc>
          <w:tcPr>
            <w:tcW w:type="dxa" w:w="16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需求承辦／核日期分母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規劃人數</w:t>
            </w:r>
          </w:p>
        </w:tc>
        <w:tc>
          <w:tcPr>
            <w:tcW w:type="dxa" w:w="37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 人；分母為預定參訓總數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SAMPLE-LOC/SYN-045-01/01-demand</w:t>
            </w:r>
          </w:p>
        </w:tc>
        <w:tc>
          <w:tcPr>
            <w:tcW w:type="dxa" w:w="16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需求承辦／核日期分母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能力落差 A</w:t>
            </w:r>
          </w:p>
        </w:tc>
        <w:tc>
          <w:tcPr>
            <w:tcW w:type="dxa" w:w="37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8/12 人；66.7%回報志工服務情境練習需求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SAMPLE-LOC/SYN-045-01/01-demand</w:t>
            </w:r>
          </w:p>
        </w:tc>
        <w:tc>
          <w:tcPr>
            <w:tcW w:type="dxa" w:w="16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需求承辦／核日期分母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能力落差 B</w:t>
            </w:r>
          </w:p>
        </w:tc>
        <w:tc>
          <w:tcPr>
            <w:tcW w:type="dxa" w:w="37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7/12 人；58.3%回報個案紀錄判斷需求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SAMPLE-LOC/SYN-045-01/01-demand</w:t>
            </w:r>
          </w:p>
        </w:tc>
        <w:tc>
          <w:tcPr>
            <w:tcW w:type="dxa" w:w="16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需求承辦／核日期分母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課程設計規格</w:t>
            </w:r>
          </w:p>
        </w:tc>
        <w:tc>
          <w:tcPr>
            <w:tcW w:type="dxa" w:w="37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 次 × 每次 6 小時 = 12 小時；包含情境演練、回饋與修訂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SAMPLE-LOC/SYN-045-01/02-spec</w:t>
            </w:r>
          </w:p>
        </w:tc>
        <w:tc>
          <w:tcPr>
            <w:tcW w:type="dxa" w:w="16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課程負責人／核日期分母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預算上限</w:t>
            </w:r>
          </w:p>
        </w:tc>
        <w:tc>
          <w:tcPr>
            <w:tcW w:type="dxa" w:w="37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新臺幣 15,000 元（含稅及必要交付成本）；示範上限，非協會核定預算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SAMPLE-LOC/SYN-045-01/03-budget</w:t>
            </w:r>
          </w:p>
        </w:tc>
        <w:tc>
          <w:tcPr>
            <w:tcW w:type="dxa" w:w="16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預算權責者／核日期分母</w:t>
            </w:r>
          </w:p>
        </w:tc>
      </w:tr>
      <w:tr>
        <w:tc>
          <w:tcPr>
            <w:tcW w:type="dxa" w:w="180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候選資源類型</w:t>
            </w:r>
          </w:p>
        </w:tc>
        <w:tc>
          <w:tcPr>
            <w:tcW w:type="dxa" w:w="37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外聘師資＋教材組合（本例；SAMPLE / SYNTHETIC）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SAMPLE-LOC/SYN-045-01/04-offer-A-C</w:t>
            </w:r>
          </w:p>
        </w:tc>
        <w:tc>
          <w:tcPr>
            <w:tcW w:type="dxa" w:w="16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需求承辦；確認資源類型及適用評選路徑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3.1 同規格邀請內容及可比性檢查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456"/>
        <w:gridCol w:w="2232"/>
        <w:gridCol w:w="2232"/>
      </w:tblGrid>
      <w:tr>
        <w:trPr>
          <w:cantSplit/>
          <w:tblHeader w:val="true"/>
        </w:trPr>
        <w:tc>
          <w:tcPr>
            <w:tcW w:type="dxa" w:w="165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可比項目</w:t>
            </w:r>
          </w:p>
        </w:tc>
        <w:tc>
          <w:tcPr>
            <w:tcW w:type="dxa" w:w="345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邀請規格／必須回答</w:t>
            </w:r>
          </w:p>
        </w:tc>
        <w:tc>
          <w:tcPr>
            <w:tcW w:type="dxa" w:w="223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候選附件定位方式</w:t>
            </w:r>
          </w:p>
        </w:tc>
        <w:tc>
          <w:tcPr>
            <w:tcW w:type="dxa" w:w="223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驗證規則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>
              <w:t>外聘／內部講師資格與教學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  <w:tc>
          <w:tcPr>
            <w:tcW w:type="dxa" w:w="34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>
              <w:t>外聘：資格、教學方式、兩項能力落差如何練習與回饋。內部：資格／專長、需求適配、教學設計、可投入時段、教材及利益揭露。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>
              <w:t>外聘：資格與經驗原件；內部：核實資格／專長、教學設計及可投入時段的來源索引。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>
              <w:t>缺必要資格即不合格；不得以低價抵銷。內部路徑不得虛構外部報價或契約。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教材與可近用</w:t>
            </w:r>
          </w:p>
        </w:tc>
        <w:tc>
          <w:tcPr>
            <w:tcW w:type="dxa" w:w="34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樣稿、版次、格式、可讀性、修訂與使用授權。</w:t>
            </w:r>
          </w:p>
        </w:tc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教材樣稿及授權範圍。</w:t>
            </w:r>
          </w:p>
        </w:tc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版次／數量／格式清楚，權利可核對。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排程與交付</w:t>
            </w:r>
          </w:p>
        </w:tc>
        <w:tc>
          <w:tcPr>
            <w:tcW w:type="dxa" w:w="34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兩個授課時段、教材交付日期、補正節點及回應方式。</w:t>
            </w:r>
          </w:p>
        </w:tc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逐項回覆表及時程。</w:t>
            </w:r>
          </w:p>
        </w:tc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同一時數、日期窗與交付條件才能比較。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含稅完整總價</w:t>
            </w:r>
          </w:p>
        </w:tc>
        <w:tc>
          <w:tcPr>
            <w:tcW w:type="dxa" w:w="34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師資、教材、必要交通／交付及修訂費用。</w:t>
            </w:r>
          </w:p>
        </w:tc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正式報價原件；示例碼只作定位。</w:t>
            </w:r>
          </w:p>
        </w:tc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超預算或總價範圍不明者先退回補正。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風險、資料與服務</w:t>
            </w:r>
          </w:p>
        </w:tc>
        <w:tc>
          <w:tcPr>
            <w:tcW w:type="dxa" w:w="34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資料處理、保密、取消、替代師資、客訴與補正責任。</w:t>
            </w:r>
          </w:p>
        </w:tc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服務說明、資料處理條款。</w:t>
            </w:r>
          </w:p>
        </w:tc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不明確時不得推定已承諾。</w:t>
            </w:r>
          </w:p>
        </w:tc>
      </w:tr>
    </w:tbl>
    <w:p>
      <w:pPr>
        <w:spacing w:after="0"/>
      </w:pP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驗證示例：若一方案只報講師費，其他方案報含教材與交付總價，先要求補成同範圍；未補齊不得把三個金額直接排名。分母、人數、時數、含稅條件須一致。</w:t>
      </w:r>
    </w:p>
    <w:p>
      <w:r>
        <w:br w:type="page"/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4. 候選方案來源與資格門檻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本示例假設於 2026-05-06 發出同一規格邀請，三個合成方案於 2026-05-11 前回覆，並於 2026-05-12 評選。候選 A/B/C 及資料代碼不是實際廠商或報價。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528"/>
        <w:gridCol w:w="1224"/>
        <w:gridCol w:w="1296"/>
        <w:gridCol w:w="2520"/>
      </w:tblGrid>
      <w:tr>
        <w:trPr>
          <w:cantSplit/>
          <w:tblHeader w:val="true"/>
        </w:trPr>
        <w:tc>
          <w:tcPr>
            <w:tcW w:type="dxa" w:w="100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候選</w:t>
            </w:r>
          </w:p>
        </w:tc>
        <w:tc>
          <w:tcPr>
            <w:tcW w:type="dxa" w:w="352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資源組合與回覆摘要</w:t>
            </w:r>
          </w:p>
        </w:tc>
        <w:tc>
          <w:tcPr>
            <w:tcW w:type="dxa" w:w="122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含稅總價</w:t>
            </w:r>
          </w:p>
        </w:tc>
        <w:tc>
          <w:tcPr>
            <w:tcW w:type="dxa" w:w="129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價格級距分</w:t>
            </w:r>
          </w:p>
        </w:tc>
        <w:tc>
          <w:tcPr>
            <w:tcW w:type="dxa" w:w="252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附件定位（合成碼）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方案 A</w:t>
            </w:r>
          </w:p>
        </w:tc>
        <w:tc>
          <w:tcPr>
            <w:tcW w:type="dxa" w:w="35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 A、教材 A；主題符合，個案案例較少；回覆兩次授課時段及教材交付。</w:t>
            </w:r>
          </w:p>
        </w:tc>
        <w:tc>
          <w:tcPr>
            <w:tcW w:type="dxa" w:w="12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NT$ 14,000</w:t>
            </w:r>
          </w:p>
        </w:tc>
        <w:tc>
          <w:tcPr>
            <w:tcW w:type="dxa" w:w="129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級距 2 分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SAMPLE-LOC/SYN-045-01/04-offer-A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方案 B</w:t>
            </w:r>
          </w:p>
        </w:tc>
        <w:tc>
          <w:tcPr>
            <w:tcW w:type="dxa" w:w="35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 B 與共同備課教材；逐項回應兩項能力落差，列出流程、教材樣稿、修訂節點及授課時段。</w:t>
            </w:r>
          </w:p>
        </w:tc>
        <w:tc>
          <w:tcPr>
            <w:tcW w:type="dxa" w:w="12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NT$ 12,000</w:t>
            </w:r>
          </w:p>
        </w:tc>
        <w:tc>
          <w:tcPr>
            <w:tcW w:type="dxa" w:w="129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級距 3 分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SAMPLE-LOC/SYN-045-01/04-offer-B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方案 C</w:t>
            </w:r>
          </w:p>
        </w:tc>
        <w:tc>
          <w:tcPr>
            <w:tcW w:type="dxa" w:w="35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>
              <w:t>師資 C 與教材套件；成本最低，紀錄練習充足，但個資情境例及課後修訂說明較少。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  <w:tc>
          <w:tcPr>
            <w:tcW w:type="dxa" w:w="12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NT$ 9,000</w:t>
            </w:r>
          </w:p>
        </w:tc>
        <w:tc>
          <w:tcPr>
            <w:tcW w:type="dxa" w:w="129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級距 5 分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SAMPLE-LOC/SYN-045-01/04-offer-C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4.1 先資格、後加權（硬門檻不可補分）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520"/>
        <w:gridCol w:w="1512"/>
        <w:gridCol w:w="4536"/>
      </w:tblGrid>
      <w:tr>
        <w:trPr>
          <w:cantSplit/>
          <w:tblHeader w:val="true"/>
        </w:trPr>
        <w:tc>
          <w:tcPr>
            <w:tcW w:type="dxa" w:w="100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252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硬門檻</w:t>
            </w:r>
          </w:p>
        </w:tc>
        <w:tc>
          <w:tcPr>
            <w:tcW w:type="dxa" w:w="151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示例判定</w:t>
            </w:r>
          </w:p>
        </w:tc>
        <w:tc>
          <w:tcPr>
            <w:tcW w:type="dxa" w:w="453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必留查核證據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師資資格符合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時程可交付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規格及教材樣稿具備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含稅總價不超預算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資料／服務責任有說明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師資資格符合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時程可交付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規格及教材樣稿具備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含稅總價不超預算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資料／服務責任有說明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師資資格符合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時程可交付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規格及教材樣稿具備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含稅總價不超預算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資料／服務責任有說明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</w:tbl>
    <w:p>
      <w:pPr>
        <w:spacing w:after="0"/>
      </w:pP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例外分支：資格未過、超預算、總價不可比、缺必要附件或來源不明 → 標記 HOLD／退補，停止該方案加權；記錄缺件、通知日、期限、補件原件與覆核者。候選數不足三件時依 0045 程序先停案並取得有權者事前處理，不得自行降低資格或追認。</w:t>
      </w:r>
    </w:p>
    <w:p>
      <w:r>
        <w:br w:type="page"/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5. 利益衝突聲明與評分尺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評分前由每位評選人各自閱讀同一規格、申報關係並保存原始分數。出現本人、近親、財務、僱傭、密切合作或其他可能影響公正之關係，先停止該人評分，交由無衝突且具權限者判斷迴避與替補；不得由當事人自行認定無影響後繼續評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024"/>
        <w:gridCol w:w="1872"/>
        <w:gridCol w:w="3168"/>
      </w:tblGrid>
      <w:tr>
        <w:trPr>
          <w:cantSplit/>
          <w:tblHeader w:val="true"/>
        </w:trPr>
        <w:tc>
          <w:tcPr>
            <w:tcW w:type="dxa" w:w="151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評選角色碼</w:t>
            </w:r>
          </w:p>
        </w:tc>
        <w:tc>
          <w:tcPr>
            <w:tcW w:type="dxa" w:w="302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利益關係聲明示例</w:t>
            </w:r>
          </w:p>
        </w:tc>
        <w:tc>
          <w:tcPr>
            <w:tcW w:type="dxa" w:w="187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  <w:tc>
          <w:tcPr>
            <w:tcW w:type="dxa" w:w="316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必備真實證據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E01</w:t>
            </w:r>
          </w:p>
        </w:tc>
        <w:tc>
          <w:tcPr>
            <w:tcW w:type="dxa" w:w="30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示例：未發現須迴避關係</w:t>
            </w:r>
          </w:p>
        </w:tc>
        <w:tc>
          <w:tcPr>
            <w:tcW w:type="dxa" w:w="187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未發現（合成）</w:t>
            </w:r>
          </w:p>
        </w:tc>
        <w:tc>
          <w:tcPr>
            <w:tcW w:type="dxa" w:w="316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評分前；非真實人員聲明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E02</w:t>
            </w:r>
          </w:p>
        </w:tc>
        <w:tc>
          <w:tcPr>
            <w:tcW w:type="dxa" w:w="30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示例：未發現須迴避關係</w:t>
            </w:r>
          </w:p>
        </w:tc>
        <w:tc>
          <w:tcPr>
            <w:tcW w:type="dxa" w:w="187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未發現（合成）</w:t>
            </w:r>
          </w:p>
        </w:tc>
        <w:tc>
          <w:tcPr>
            <w:tcW w:type="dxa" w:w="316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評分前；非真實人員聲明</w:t>
            </w:r>
          </w:p>
        </w:tc>
      </w:tr>
    </w:tbl>
    <w:p>
      <w:pPr>
        <w:spacing w:after="0"/>
      </w:pP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角色碼 E01、E02 是示範代碼，不是自然人姓名；本表沒有真實簽名或利益申報。正式資料應保存申報原文、申報日、覆核者、迴避／替補決定及替代評選者的獨立評分。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5.1 事前評分量尺（1–5；2、4為相鄰錨點間的中間判斷）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344"/>
      </w:tblGrid>
      <w:tr>
        <w:trPr>
          <w:cantSplit/>
          <w:tblHeader w:val="true"/>
        </w:trPr>
        <w:tc>
          <w:tcPr>
            <w:tcW w:type="dxa" w:w="223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面向／權重</w:t>
            </w:r>
          </w:p>
        </w:tc>
        <w:tc>
          <w:tcPr>
            <w:tcW w:type="dxa" w:w="734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可觀察評分錨點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需求符合度 30%</w:t>
            </w:r>
          </w:p>
        </w:tc>
        <w:tc>
          <w:tcPr>
            <w:tcW w:type="dxa" w:w="73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1–2：未回應多項明確落差；3：主要需求有回應；4–5：逐項對應兩項落差並有可檢視練習／評量。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師資與教學 25%</w:t>
            </w:r>
          </w:p>
        </w:tc>
        <w:tc>
          <w:tcPr>
            <w:tcW w:type="dxa" w:w="73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1–2：資格或教法證明不足；3：資格與基本教學流程符合；4–5：教法、教材、練習、回饋及目標連結完整。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排程與回應 15%</w:t>
            </w:r>
          </w:p>
        </w:tc>
        <w:tc>
          <w:tcPr>
            <w:tcW w:type="dxa" w:w="73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1–2：時段／交付不確定；3：可排程但修訂回應有限；4–5：兩次時段、交付及修訂節點清楚。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教材與可近用 10%</w:t>
            </w:r>
          </w:p>
        </w:tc>
        <w:tc>
          <w:tcPr>
            <w:tcW w:type="dxa" w:w="73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1–2：內容／格式或使用條件不符；3：符合基本規格；4–5：可讀、可用、版次可追且有品質／可近用安排。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>
              <w:t>價格面向（外聘適用）10%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  <w:tc>
          <w:tcPr>
            <w:tcW w:type="dxa" w:w="73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>
              <w:t>外聘價格須符合同規格可比性及事前級距；超預算／不可比先HOLD或退補，不以低價抵資格。內部講師無對外採購價格時標N/A，不給價格分，依§5.2正規化其餘權重。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風險與服務 10%</w:t>
            </w:r>
          </w:p>
        </w:tc>
        <w:tc>
          <w:tcPr>
            <w:tcW w:type="dxa" w:w="73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1–2：資料處理／責任未說明；3：基本保密、變更與補正方式清楚；4–5：版本、存取、事件通報、替代及補正責任可執行。</w:t>
            </w:r>
          </w:p>
        </w:tc>
      </w:tr>
    </w:tbl>
    <w:p>
      <w:pPr>
        <w:pStyle w:val="Heading2"/>
      </w:pPr>
      <w:r>
        <w:t>5.2 價格級距與內部講師 N/A 路徑</w:t>
      </w:r>
    </w:p>
    <w:p>
      <w:r>
        <w:t>外聘候選的 SAMPLE 價格級距（非協會現行標準）：含稅可比總價不高於9,000元＝5分；高於9,000且不高於11,000元＝4分；高於11,000且不高於13,000元＝3分；高於13,000且不高於15,000元＝2分；高於15,000元超出本例上限，HOLD並重新核定，不納入總評。實際案件須以事前核定預算及財務規範替換。</w:t>
      </w:r>
    </w:p>
    <w:p>
      <w:pPr>
        <w:keepLines/>
      </w:pPr>
      <w:r>
        <w:t>內部講師無對外採購價格時，價格面向記 N/A 並寫明原因，不給5分或任何價格分。SAMPLE正規化算例：價格10%排除後，適用原權重合計90%；新權重＝原權重÷90×100，依序為需求30→33.33%、師資25→27.78%、排程15→16.67%、教材10→11.11%、風險10→11.11%，合計100.00%。各新權重及N/A理由須於邀用前通知並由有權者核定。內外部候選只有具可核實的同一全成本口徑才可混合排名；否則分組評估，不互相排序。此算例不代表協會已核定規則。</w:t>
      </w:r>
    </w:p>
    <w:p>
      <w:pPr>
        <w:spacing w:after="0"/>
      </w:pP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6. 兩名評選者逐項原始分數與理由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E01、E02 各自依同一評分尺獨立給 1–5 分。表列均分 = (E01 + E02) ÷ 2；平均只作後續加權輸入，不覆蓋原始分。每項理由須指向同一方案的合成附件定位，正式使用時替換成可追溯原件頁碼。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376"/>
        <w:gridCol w:w="1080"/>
        <w:gridCol w:w="792"/>
        <w:gridCol w:w="4608"/>
      </w:tblGrid>
      <w:tr>
        <w:trPr>
          <w:cantSplit/>
          <w:tblHeader w:val="true"/>
        </w:trPr>
        <w:tc>
          <w:tcPr>
            <w:tcW w:type="dxa" w:w="691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237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評分面向／權重</w:t>
            </w:r>
          </w:p>
        </w:tc>
        <w:tc>
          <w:tcPr>
            <w:tcW w:type="dxa" w:w="108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E01／E02</w:t>
            </w:r>
          </w:p>
        </w:tc>
        <w:tc>
          <w:tcPr>
            <w:tcW w:type="dxa" w:w="79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</w:t>
            </w:r>
          </w:p>
        </w:tc>
        <w:tc>
          <w:tcPr>
            <w:tcW w:type="dxa" w:w="460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具體理由（示範）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需求符合度 30%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5／5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兩項需求均有對應練習與教材。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師資與教學 25%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4／4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資格及教學流程符合規格。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排程與回應 15%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3／5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兩次時段與交付可行，修訂節點說明一般。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教材與可近用 10%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4／4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格式符合需求，版本與可近用安排一般。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含稅總價 10%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2／2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14,000 元在 13,000–15,000 元級距。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風險與服務 10%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5／3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資料處理與補正有說明；細節判斷有差異。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需求符合度 30%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4／4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主要需求均有回應，尚有一項可再補強。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師資與教學 25%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5／5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教法、教材與評量完整連結目標。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排程與回應 15%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5／5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兩次時段、交付及修訂節點清楚。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教材與可近用 10%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5／5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樣稿符合格式並列明版本修訂。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含稅總價 10%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3／3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12,000 元在 11,000–13,000 元級距。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風險與服務 10%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4／4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資料界線與補正責任可執行。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需求符合度 30%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3／5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>
              <w:t>有紀錄練習但個資情境例較少，評分有差異。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師資與教學 25%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4／4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資格及基本教學流程符合。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排程與回應 15%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2／4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時段可行但修訂與回覆節點較少。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教材與可近用 10%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5／3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教材內容充足，可近用及版本維護說明較少。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含稅總價 10%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5／5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9,000 元落在最低價格級距。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風險與服務 10%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3／3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基本服務說明存在，補正細節有限。</w:t>
            </w:r>
          </w:p>
        </w:tc>
      </w:tr>
    </w:tbl>
    <w:p>
      <w:pPr>
        <w:spacing w:after="0"/>
      </w:pP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評分完成檢查：六項權重總計 100%；每個方案均有 6 組 E01/E02 原分，共 36 個原始分；任一分數不得空缺、代填或事後覆寫。差異由兩人各自補充理由，仍保留原分及差異。</w:t>
      </w:r>
    </w:p>
    <w:p>
      <w:r>
        <w:br w:type="page"/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7. 加權計算、排序與建議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計算式：各面向貢獻 = 權重 × ((E01 原分 + E02 原分) ÷ 2) ÷ 5；總分 = 六面向貢獻加總。權重以百分點計，結果四捨五入至小數一位。示範門檻 70 分、價格級距及上限都是合成參數，須由有權者核定後才可用於真實案件。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448"/>
        <w:gridCol w:w="1440"/>
        <w:gridCol w:w="1872"/>
        <w:gridCol w:w="2808"/>
      </w:tblGrid>
      <w:tr>
        <w:trPr>
          <w:cantSplit/>
          <w:tblHeader w:val="true"/>
        </w:trPr>
        <w:tc>
          <w:tcPr>
            <w:tcW w:type="dxa" w:w="100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候選</w:t>
            </w:r>
          </w:p>
        </w:tc>
        <w:tc>
          <w:tcPr>
            <w:tcW w:type="dxa" w:w="244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含稅總價／價格分</w:t>
            </w:r>
          </w:p>
        </w:tc>
        <w:tc>
          <w:tcPr>
            <w:tcW w:type="dxa" w:w="144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加權總分</w:t>
            </w:r>
          </w:p>
        </w:tc>
        <w:tc>
          <w:tcPr>
            <w:tcW w:type="dxa" w:w="187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示範門檻</w:t>
            </w:r>
          </w:p>
        </w:tc>
        <w:tc>
          <w:tcPr>
            <w:tcW w:type="dxa" w:w="280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排序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44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14,000 元；價格級距 2</w:t>
            </w:r>
          </w:p>
        </w:tc>
        <w:tc>
          <w:tcPr>
            <w:tcW w:type="dxa" w:w="14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82.0</w:t>
            </w:r>
          </w:p>
        </w:tc>
        <w:tc>
          <w:tcPr>
            <w:tcW w:type="dxa" w:w="187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達示範門檻 70</w:t>
            </w:r>
          </w:p>
        </w:tc>
        <w:tc>
          <w:tcPr>
            <w:tcW w:type="dxa" w:w="28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合格；依總分排序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44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12,000 元；價格級距 3</w:t>
            </w:r>
          </w:p>
        </w:tc>
        <w:tc>
          <w:tcPr>
            <w:tcW w:type="dxa" w:w="144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88.0</w:t>
            </w:r>
          </w:p>
        </w:tc>
        <w:tc>
          <w:tcPr>
            <w:tcW w:type="dxa" w:w="187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達示範門檻 70</w:t>
            </w:r>
          </w:p>
        </w:tc>
        <w:tc>
          <w:tcPr>
            <w:tcW w:type="dxa" w:w="28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合格；依總分排序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44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9,000 元；價格級距 5</w:t>
            </w:r>
          </w:p>
        </w:tc>
        <w:tc>
          <w:tcPr>
            <w:tcW w:type="dxa" w:w="14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77.0</w:t>
            </w:r>
          </w:p>
        </w:tc>
        <w:tc>
          <w:tcPr>
            <w:tcW w:type="dxa" w:w="187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達示範門檻 70</w:t>
            </w:r>
          </w:p>
        </w:tc>
        <w:tc>
          <w:tcPr>
            <w:tcW w:type="dxa" w:w="28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合格；依總分排序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7.1 可重算算例與結論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20"/>
        </w:rPr>
        <w:t>方案 B：30×4÷5 + 25×5÷5 + 15×5÷5 + 10×5÷5 + 10×3÷5 + 10×4÷5 = 24 + 25 + 15 + 10 + 6 + 8 = 88.0。方案 A = 30 + 20 + 12 + 8 + 4 + 8 = 82.0；方案 C = 24 + 20 + 9 + 8 + 10 + 6 = 77.0。權重總計 100%，三案均達示範門檻。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7.2 建議與有權核定欄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824"/>
        <w:gridCol w:w="3024"/>
      </w:tblGrid>
      <w:tr>
        <w:trPr>
          <w:cantSplit/>
          <w:tblHeader w:val="true"/>
        </w:trPr>
        <w:tc>
          <w:tcPr>
            <w:tcW w:type="dxa" w:w="172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82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完整示例內容</w:t>
            </w:r>
          </w:p>
        </w:tc>
        <w:tc>
          <w:tcPr>
            <w:tcW w:type="dxa" w:w="302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應附／應查原件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評選排序</w:t>
            </w:r>
          </w:p>
        </w:tc>
        <w:tc>
          <w:tcPr>
            <w:tcW w:type="dxa" w:w="48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B（88.0）→ A（82.0）→ C（77.0）；同分條件未觸發。</w:t>
            </w:r>
          </w:p>
        </w:tc>
        <w:tc>
          <w:tcPr>
            <w:tcW w:type="dxa" w:w="30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評分總表及逐項原分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建議理由</w:t>
            </w:r>
          </w:p>
        </w:tc>
        <w:tc>
          <w:tcPr>
            <w:tcW w:type="dxa" w:w="48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示範建議 B：需求、教學、排程、教材與補正安排整體較完整；C 的低價不單獨決定結果。</w:t>
            </w:r>
          </w:p>
        </w:tc>
        <w:tc>
          <w:tcPr>
            <w:tcW w:type="dxa" w:w="30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同規格方案表、逐項理由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示範權限欄</w:t>
            </w:r>
          </w:p>
        </w:tc>
        <w:tc>
          <w:tcPr>
            <w:tcW w:type="dxa" w:w="48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A01 為合成角色碼；欄位示意核定角色、權限依據、核定日期與決定內容。</w:t>
            </w:r>
          </w:p>
        </w:tc>
        <w:tc>
          <w:tcPr>
            <w:tcW w:type="dxa" w:w="30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正式授權文件、真實核定原件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狀態與限制</w:t>
            </w:r>
          </w:p>
        </w:tc>
        <w:tc>
          <w:tcPr>
            <w:tcW w:type="dxa" w:w="48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未經協會正式核定；無真人簽名、無實際採購、無契約或付款證明。</w:t>
            </w:r>
          </w:p>
        </w:tc>
        <w:tc>
          <w:tcPr>
            <w:tcW w:type="dxa" w:w="30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有權者實際核定後始能更新狀態</w:t>
            </w:r>
          </w:p>
        </w:tc>
      </w:tr>
      <w:tr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同分處理</w:t>
            </w:r>
          </w:p>
        </w:tc>
        <w:tc>
          <w:tcPr>
            <w:tcW w:type="dxa" w:w="48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本例無同分。若同分：依事前公告規則比較需求符合度加權分、師資與教學、排程與回應；仍同分即HOLD，由有權者依公告條件書面處理，不事後新增偏好或抽籤。</w:t>
            </w:r>
          </w:p>
        </w:tc>
        <w:tc>
          <w:tcPr>
            <w:tcW w:type="dxa" w:w="30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事前評分規則、逐項總分及正式核定原件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8. 採購、契約、交付與履約追蹤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推薦、核定、簽約、交付、驗收及付款是不同狀態。下列日期／結果皆是合成流程示範，不是協會執行紀錄；表單承辦須以真實原件填寫每個日期、文件定位、缺失、補正與覆核。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824"/>
        <w:gridCol w:w="2808"/>
      </w:tblGrid>
      <w:tr>
        <w:trPr>
          <w:cantSplit/>
          <w:tblHeader w:val="true"/>
        </w:trPr>
        <w:tc>
          <w:tcPr>
            <w:tcW w:type="dxa" w:w="194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合成日期</w:t>
            </w:r>
          </w:p>
        </w:tc>
        <w:tc>
          <w:tcPr>
            <w:tcW w:type="dxa" w:w="482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紀錄內容及完整示例</w:t>
            </w:r>
          </w:p>
        </w:tc>
        <w:tc>
          <w:tcPr>
            <w:tcW w:type="dxa" w:w="280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證據狀態限制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2026-05-15</w:t>
            </w:r>
          </w:p>
        </w:tc>
        <w:tc>
          <w:tcPr>
            <w:tcW w:type="dxa" w:w="48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示範核定欄由合成角色 A01 記錄推薦方案 B 與 15,000 元示範上限。</w:t>
            </w:r>
          </w:p>
        </w:tc>
        <w:tc>
          <w:tcPr>
            <w:tcW w:type="dxa" w:w="28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無真人核定、簽章或組織授權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2026-05-18</w:t>
            </w:r>
          </w:p>
        </w:tc>
        <w:tc>
          <w:tcPr>
            <w:tcW w:type="dxa" w:w="48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合成契約條件 SYN-CT-045-01：總價 12,000 元；兩次各 6 小時；12 份教材；開課前修訂。</w:t>
            </w:r>
          </w:p>
        </w:tc>
        <w:tc>
          <w:tcPr>
            <w:tcW w:type="dxa" w:w="28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不是報價、契約、發票、付款或真實用印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2026-05-29</w:t>
            </w:r>
          </w:p>
        </w:tc>
        <w:tc>
          <w:tcPr>
            <w:tcW w:type="dxa" w:w="48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教材初檢：2 份索引頁碼未更新；記錄缺失並通知合成方案 B 修正。</w:t>
            </w:r>
          </w:p>
        </w:tc>
        <w:tc>
          <w:tcPr>
            <w:tcW w:type="dxa" w:w="28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示範缺失；不得當成真實驗收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2026-05-30</w:t>
            </w:r>
          </w:p>
        </w:tc>
        <w:tc>
          <w:tcPr>
            <w:tcW w:type="dxa" w:w="48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示範複驗：12 份最終教材頁碼一致；課程流程與個案情境已納入。</w:t>
            </w:r>
          </w:p>
        </w:tc>
        <w:tc>
          <w:tcPr>
            <w:tcW w:type="dxa" w:w="28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非真實收件／驗收證明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2026-06-01、2026-06-08</w:t>
            </w:r>
          </w:p>
        </w:tc>
        <w:tc>
          <w:tcPr>
            <w:tcW w:type="dxa" w:w="48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兩次各 6 小時；合計 12 小時；示範完成 12/12 預定小時。</w:t>
            </w:r>
          </w:p>
        </w:tc>
        <w:tc>
          <w:tcPr>
            <w:tcW w:type="dxa" w:w="28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非真實出席、授課或成果證明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2026-06-22</w:t>
            </w:r>
          </w:p>
        </w:tc>
        <w:tc>
          <w:tcPr>
            <w:tcW w:type="dxa" w:w="48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10/12 有效回饋；4 人評 5、4 人評 4、2 人評 3；平均 4.2/5。</w:t>
            </w:r>
          </w:p>
        </w:tc>
        <w:tc>
          <w:tcPr>
            <w:tcW w:type="dxa" w:w="28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合成問卷；沒有真實參與者資料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8.1 履約驗收欄與缺失關閉條件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744"/>
        <w:gridCol w:w="4248"/>
      </w:tblGrid>
      <w:tr>
        <w:trPr>
          <w:cantSplit/>
          <w:tblHeader w:val="true"/>
        </w:trPr>
        <w:tc>
          <w:tcPr>
            <w:tcW w:type="dxa" w:w="158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驗收面向</w:t>
            </w:r>
          </w:p>
        </w:tc>
        <w:tc>
          <w:tcPr>
            <w:tcW w:type="dxa" w:w="374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欄位與查驗動作</w:t>
            </w:r>
          </w:p>
        </w:tc>
        <w:tc>
          <w:tcPr>
            <w:tcW w:type="dxa" w:w="424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合格／異常處理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師資／服務</w:t>
            </w:r>
          </w:p>
        </w:tc>
        <w:tc>
          <w:tcPr>
            <w:tcW w:type="dxa" w:w="37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依契約核對授課人員、時數、課程內容及實際授課紀錄。</w:t>
            </w:r>
          </w:p>
        </w:tc>
        <w:tc>
          <w:tcPr>
            <w:tcW w:type="dxa" w:w="424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契約列明項目逐項符合；不足記缺失、責任與期限。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教材／資源</w:t>
            </w:r>
          </w:p>
        </w:tc>
        <w:tc>
          <w:tcPr>
            <w:tcW w:type="dxa" w:w="37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核對版次、數量、內容、格式、可讀性及使用授權。</w:t>
            </w:r>
          </w:p>
        </w:tc>
        <w:tc>
          <w:tcPr>
            <w:tcW w:type="dxa" w:w="424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示範初檢 2 份索引待修；複驗 12/12 一致後才關閉示例缺失。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時程</w:t>
            </w:r>
          </w:p>
        </w:tc>
        <w:tc>
          <w:tcPr>
            <w:tcW w:type="dxa" w:w="37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比較約定日及實際日，標明延期天數、原因及核定。</w:t>
            </w:r>
          </w:p>
        </w:tc>
        <w:tc>
          <w:tcPr>
            <w:tcW w:type="dxa" w:w="424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不得只寫準時；實際日期缺失時標 UNKNOWN，不可推估。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品質／回饋</w:t>
            </w:r>
          </w:p>
        </w:tc>
        <w:tc>
          <w:tcPr>
            <w:tcW w:type="dxa" w:w="37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記錄有效回覆分子、邀請分母、題目量尺、缺漏與計算。</w:t>
            </w:r>
          </w:p>
        </w:tc>
        <w:tc>
          <w:tcPr>
            <w:tcW w:type="dxa" w:w="424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10/12=83.3%；(4×5+4×4+2×3)/10=4.2/5；示範目標4.0/5。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付款／結案</w:t>
            </w:r>
          </w:p>
        </w:tc>
        <w:tc>
          <w:tcPr>
            <w:tcW w:type="dxa" w:w="37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依真實契約、請款原件、核定及財務流程處理。</w:t>
            </w:r>
          </w:p>
        </w:tc>
        <w:tc>
          <w:tcPr>
            <w:tcW w:type="dxa" w:w="424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本示例沒有付款資料，不能據此表示已付款或已結案。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9. 缺漏、錯誤及例外處理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672"/>
        <w:gridCol w:w="4176"/>
      </w:tblGrid>
      <w:tr>
        <w:trPr>
          <w:cantSplit/>
          <w:tblHeader w:val="true"/>
        </w:trPr>
        <w:tc>
          <w:tcPr>
            <w:tcW w:type="dxa" w:w="172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問題類型</w:t>
            </w:r>
          </w:p>
        </w:tc>
        <w:tc>
          <w:tcPr>
            <w:tcW w:type="dxa" w:w="367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必記事實</w:t>
            </w:r>
          </w:p>
        </w:tc>
        <w:tc>
          <w:tcPr>
            <w:tcW w:type="dxa" w:w="417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處置、覆核及關閉條件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合成例：教材索引</w:t>
            </w:r>
          </w:p>
        </w:tc>
        <w:tc>
          <w:tcPr>
            <w:tcW w:type="dxa" w:w="367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2026-05-29；2份索引頁碼未更新。</w:t>
            </w:r>
          </w:p>
        </w:tc>
        <w:tc>
          <w:tcPr>
            <w:tcW w:type="dxa" w:w="41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通知補正，原檢查結果及版本留存；2026-05-30重驗12份一致後關閉示例缺失。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缺報價／附件</w:t>
            </w:r>
          </w:p>
        </w:tc>
        <w:tc>
          <w:tcPr>
            <w:tcW w:type="dxa" w:w="367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收件人、時間、缺少欄位、通知期限、補件原件及覆核者。</w:t>
            </w:r>
          </w:p>
        </w:tc>
        <w:tc>
          <w:tcPr>
            <w:tcW w:type="dxa" w:w="41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未補齊前 HOLD；不以口頭摘要補成報價。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利益衝突</w:t>
            </w:r>
          </w:p>
        </w:tc>
        <w:tc>
          <w:tcPr>
            <w:tcW w:type="dxa" w:w="367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申報人、關係、暫停時間、迴避決定、替補權限與新評分原件。</w:t>
            </w:r>
          </w:p>
        </w:tc>
        <w:tc>
          <w:tcPr>
            <w:tcW w:type="dxa" w:w="41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存在疑慮即暫停相關評分；有權者處理後再續。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超預算／不可比</w:t>
            </w:r>
          </w:p>
        </w:tc>
        <w:tc>
          <w:tcPr>
            <w:tcW w:type="dxa" w:w="367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總價範圍、稅費、必要交付、版本及預算核定差異。</w:t>
            </w:r>
          </w:p>
        </w:tc>
        <w:tc>
          <w:tcPr>
            <w:tcW w:type="dxa" w:w="41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排除或退補；未取得事前權限不得追認例外。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無權核定／簽約</w:t>
            </w:r>
          </w:p>
        </w:tc>
        <w:tc>
          <w:tcPr>
            <w:tcW w:type="dxa" w:w="367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缺少授權來源、核定或簽章原件及待補責任人。</w:t>
            </w:r>
          </w:p>
        </w:tc>
        <w:tc>
          <w:tcPr>
            <w:tcW w:type="dxa" w:w="41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不得把推薦改寫成已核定；不簽約、不付款，依權限升級。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10. 官方要求、表單欄位及附件追溯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392"/>
        <w:gridCol w:w="3240"/>
      </w:tblGrid>
      <w:tr>
        <w:trPr>
          <w:cantSplit/>
          <w:tblHeader w:val="true"/>
        </w:trPr>
        <w:tc>
          <w:tcPr>
            <w:tcW w:type="dxa" w:w="194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追溯對象</w:t>
            </w:r>
          </w:p>
        </w:tc>
        <w:tc>
          <w:tcPr>
            <w:tcW w:type="dxa" w:w="439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本表定位</w:t>
            </w:r>
          </w:p>
        </w:tc>
        <w:tc>
          <w:tcPr>
            <w:tcW w:type="dxa" w:w="324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正式附件／責任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需求與規格</w:t>
            </w:r>
          </w:p>
        </w:tc>
        <w:tc>
          <w:tcPr>
            <w:tcW w:type="dxa" w:w="43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§3；同規格邀請與需求附件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需求調查、核定課程計畫、預算來源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師資／教材／廠商比較</w:t>
            </w:r>
          </w:p>
        </w:tc>
        <w:tc>
          <w:tcPr>
            <w:tcW w:type="dxa" w:w="43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§4–§6；候選、資格、利益申報、原始分數及逐項理由</w:t>
            </w:r>
          </w:p>
        </w:tc>
        <w:tc>
          <w:tcPr>
            <w:tcW w:type="dxa" w:w="324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各候選原件、共同規格、評選人原分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評估與推薦</w:t>
            </w:r>
          </w:p>
        </w:tc>
        <w:tc>
          <w:tcPr>
            <w:tcW w:type="dxa" w:w="43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§7；公式、門檻、排序、理由及權限欄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事前規則、重算表、正式核定原件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採購／簽約／後續管理</w:t>
            </w:r>
          </w:p>
        </w:tc>
        <w:tc>
          <w:tcPr>
            <w:tcW w:type="dxa" w:w="43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§8–§9；契約條件、交付、缺失、複驗、回饋與結案</w:t>
            </w:r>
          </w:p>
        </w:tc>
        <w:tc>
          <w:tcPr>
            <w:tcW w:type="dxa" w:w="324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真實契約、簽收／授課／問卷／請款資料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 I10-E01</w:t>
            </w:r>
          </w:p>
        </w:tc>
        <w:tc>
          <w:tcPr>
            <w:tcW w:type="dxa" w:w="43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完整文書手冊與紀錄分析相關資料；於課程設計時評估選擇師資、教材或合作廠商，並有評估、採購、簽約與後續管理流程。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本表呈現單一案件紀錄；流程規範見 0045；本表示例不代替任何原件。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彙整／交接／保存</w:t>
            </w:r>
          </w:p>
        </w:tc>
        <w:tc>
          <w:tcPr>
            <w:tcW w:type="dxa" w:w="43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§11：案號、最終版本、原件與附件清冊、保存位置、移交／接收職務、日期、簽收索引，以及保存規範名稱／版本／條次。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按協會正式核定紀錄規範及職務權限核對；本示例接收角色、正式位置及保存規則均為 UNKNOWN，採 HOLD；不得自訂年限或銷毀。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10.1 相關文件與文類界線</w:t>
      </w:r>
    </w:p>
    <w:p>
      <w:pPr>
        <w:spacing w:after="80" w:before="0" w:line="269" w:lineRule="auto"/>
      </w:pPr>
      <w:r>
        <w:t>0045／I10-E01《訓練資源採購與甄選管理辦法》規範跨案件流程；本表只記單案。SYN-045-01 是 0045 與本表共用的合成示範情境代碼，僅供核對 SAMPLE/SYNTHETIC 欄位；不代表任何協會真實個案或共同原件。0044／I09-E04 保留會議或電子郵件原始討論與決議，本表不可代造；0047／I10-E02 分析跨年度趨勢與制度改善，本單案表不取代。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11. 表單完成條件與版本</w:t>
      </w:r>
    </w:p>
    <w:p>
      <w:pPr>
        <w:spacing w:after="80" w:before="0" w:line="269" w:lineRule="auto"/>
      </w:pPr>
      <w:r>
        <w:t>表單完成條件：需求與同規格已核實；三案資格與總價可比（內部講師按§5.2記N/A與正規化）；利益申報完成；每項原分、理由、計算與門檻可重算；推薦與正式核定分開；契約、交付、缺失、複驗、回饋及附件可追溯；並有保存位置、移交／接收角色、日期、簽收索引及保存規範依據。未核實保存規範或接收權限時標UNKNOWN／HOLD，不宣稱歸檔完成、不結案、不銷毀；缺原件不補造證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728"/>
        <w:gridCol w:w="5616"/>
        <w:gridCol w:w="1584"/>
      </w:tblGrid>
      <w:tr>
        <w:trPr>
          <w:cantSplit/>
          <w:tblHeader w:val="true"/>
        </w:trPr>
        <w:tc>
          <w:tcPr>
            <w:tcW w:type="dxa" w:w="115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72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61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修訂說明</w:t>
            </w:r>
          </w:p>
        </w:tc>
        <w:tc>
          <w:tcPr>
            <w:tcW w:type="dxa" w:w="158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2026-10-17</w:t>
            </w:r>
          </w:p>
        </w:tc>
        <w:tc>
          <w:tcPr>
            <w:tcW w:type="dxa" w:w="561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 I10-E01 Unique Blueprint 建立完整單案表單與合成走讀。</w:t>
            </w:r>
          </w:p>
        </w:tc>
        <w:tc>
          <w:tcPr>
            <w:tcW w:type="dxa" w:w="158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SAMPLE候選；未核定、未簽章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R02</w:t>
            </w:r>
          </w:p>
        </w:tc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2026-10-17</w:t>
            </w:r>
          </w:p>
        </w:tc>
        <w:tc>
          <w:tcPr>
            <w:tcW w:type="dxa" w:w="561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依 R01 exact-SHA 審查補入內部講師 N/A/權重正規化、完整 SAMPLE 價格級距、同案 R03 交叉引用及保存交接 HOLD 條件。</w:t>
            </w:r>
          </w:p>
        </w:tc>
        <w:tc>
          <w:tcPr>
            <w:tcW w:type="dxa" w:w="158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SAMPLE 候選；未核定、未簽章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9" w:h="16834"/>
      <w:pgMar w:top="1037" w:right="965" w:bottom="893" w:left="965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JhengHei" w:hAnsi="Microsoft JhengHei" w:eastAsia="Microsoft JhengHei"/>
        <w:b w:val="0"/>
        <w:color w:val="687782"/>
        <w:sz w:val="17"/>
      </w:rPr>
      <w:t xml:space="preserve">0046 R02  |  SAMPLE / SYNTHETIC  |  第 </w:t>
    </w:r>
    <w:fldSimple w:instr="PAGE"/>
    <w:r>
      <w:rPr>
        <w:rFonts w:ascii="Microsoft JhengHei" w:hAnsi="Microsoft JhengHei" w:eastAsia="Microsoft JhengHei"/>
        <w:b w:val="0"/>
        <w:color w:val="687782"/>
        <w:sz w:val="17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Microsoft JhengHei" w:hAnsi="Microsoft JhengHei" w:eastAsia="Microsoft JhengHei"/>
        <w:b/>
        <w:color w:val="65737D"/>
        <w:sz w:val="17"/>
      </w:rPr>
      <w:t>SAMPLE / SYNTHETIC  |  未生效示範表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師資教材廠商評選紀錄表</dc:title>
  <dc:subject>I10-E01 / official sequence 047 / SAMPLE-SYNTHETIC operational record form</dc:subject>
  <dc:creator>TTQS ONE document production</dc:creator>
  <cp:keywords>0046; I10-E01; SAMPLE;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