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  <w:keepNext/>
        <w:spacing w:before="160" w:after="60"/>
      </w:pPr>
      <w:r>
        <w:t>相邻要求邊界與負向近鄰拒收規則</w:t>
      </w:r>
    </w:p>
    <w:p>
      <w:pPr>
        <w:keepNext/>
        <w:spacing w:after="40"/>
      </w:pPr>
      <w:r>
        <w:t>本件定位：0047 / I10-E02（官方來源格 P03-B09）。以下根據各件唯一 Blueprint 的要求、文類與欄位辨識錯件；核對點不代替該相鄰文件本身。</w:t>
      </w:r>
    </w:p>
    <w:p>
      <w:pPr>
        <w:pStyle w:val="ListBullet"/>
        <w:keepNext w:val="0"/>
        <w:keepLines/>
        <w:spacing w:after="60" w:line="240" w:lineRule="auto"/>
      </w:pPr>
      <w:r>
        <w:rPr>
          <w:b/>
          <w:sz w:val="21"/>
        </w:rPr>
        <w:t>0045 / I10-E01｜《訓練資源採購與甄選管理辦法》 (official source box P03-B07)：</w:t>
      </w:r>
      <w:r>
        <w:rPr>
          <w:sz w:val="21"/>
        </w:rPr>
        <w:t>官方專屬文件是事前與執行程序：課程設計時師資、教材或廠商的評估選擇，以及評估、採購、簽約、後續管理作業流程。可核對它的專屬欄位是啟動條件、輸入來源、角色與覆核、門檻分支、控制點、異常升級、紀錄編號與交接。本件 0047 不制定或取代這些程序；本報告只分析年度課程案例的選前規準、選擇理由、契約驗收、履約檢核分子分母與改善追蹤（正文第 5–6 頁）。若待證的是程序本身或其權責核准，不得以 0047 代替。</w:t>
      </w:r>
    </w:p>
    <w:p>
      <w:pPr>
        <w:pStyle w:val="ListBullet"/>
        <w:keepNext w:val="0"/>
        <w:keepLines/>
        <w:spacing w:after="60" w:line="240" w:lineRule="auto"/>
      </w:pPr>
      <w:r>
        <w:rPr>
          <w:b/>
          <w:sz w:val="21"/>
        </w:rPr>
        <w:t>0048 / I10-E03｜《大型採購均辦理會議通過、師資遴聘後亦經過會議或審查通過並留有紀錄》 (official source box P03-B10)：</w:t>
      </w:r>
      <w:r>
        <w:rPr>
          <w:sz w:val="21"/>
        </w:rPr>
        <w:t>官方專屬佐證是大型採購或師資遴聘經會議／審查通過並留紀錄；可核對的欄位包括日期、角色代碼、來源／附件定位、判定與理由、覆核及後續行動。本件 0047 的第 5–7 頁是年度分數、履約達成率、差異分析與改善建議，不是會議紀錄、師資遴聘核准或大型採購通過之原件。若某個案結論需以會議決議或審查通過為依據，必須另取 0048 之真實原件，不得從本報告的合成數據推定。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 w:val="0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40"/>
      </w:pPr>
      <w:r>
        <w:t>評量方式與判定</w:t>
      </w:r>
    </w:p>
    <w:p>
      <w:pPr>
        <w:pStyle w:val="Heading3"/>
        <w:keepNext/>
        <w:spacing w:before="60" w:after="40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1"/>
          <w:cantSplit/>
        </w:trPr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選擇前課程需求與評估規準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需求、目標及評估規準在選擇前可追溯。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資源選擇理由可重現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能由候選比較、適用性及選擇理由重現決定脈絡。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採購、契約及驗收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採購核決、契約範圍、雙方簽署及驗收依據可核對。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履約後評估及改善追蹤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60" w:after="40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未見可追溯材料。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材料零散，無法說明主要判斷。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有部分記錄，但前後關聯或檢討閉環不完整。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主要內容完整，能連結課程與決策並供覆核。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  <w:keepNext/>
        <w:spacing w:before="60" w:after="40"/>
      </w:pPr>
      <w:r>
        <w:t>示範判讀門檻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加權分數低於3.00：優先補強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加權分數至少3.00但低於4.00：需改善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加權分數至少4.00但履約檢核未全數完成：仍列需改善；先補齊缺項，再由管理權責角色覆核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加權分數至少4.00且四項檢核全數完成：達示範檢視門檻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R07: targeted substantive addition distinguishing official negative neighbors 0045/I10-E01 and 0048/I10-E03; names their distinct evidence fields and states rejection boundaries. No synthetic calculations or existing case values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