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Microsoft JhengHei" w:hAnsi="Microsoft JhengHei" w:eastAsia="Microsoft JhengHei" w:cs="Microsoft JhengHei"/>
          <w:b/>
          <w:i w:val="0"/>
          <w:sz w:val="38"/>
        </w:rPr>
        <w:t>個人訓後績效改善個案分析表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文件編號：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TTQS-0128-I19-E17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指標對應：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TTQS 訓練機構版 指標 19（訓練成果評估）三階指標項目 E17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官方審查要旨：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「相關證據顯示個人訓練後之績效改善成果。」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文件性質：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訓練行政作業與 TTQS 評核專用個案分析報告暨標準表單（非一般問卷、非滿意度調查、非人事升遷考績單）</w:t>
      </w:r>
    </w:p>
    <w:p>
      <w:pPr>
        <w:spacing w:before="60" w:after="60"/>
        <w:ind w:left="202"/>
        <w:shd w:fill="EAF2F8"/>
      </w:pPr>
      <w:r>
        <w:rPr>
          <w:rFonts w:ascii="Microsoft JhengHei" w:hAnsi="Microsoft JhengHei" w:eastAsia="Microsoft JhengHei" w:cs="Microsoft JhengHei"/>
          <w:b/>
          <w:i w:val="0"/>
          <w:color w:val="194169"/>
          <w:sz w:val="21"/>
        </w:rPr>
        <w:t>資料提醒｜CAUTION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【重要宣告：全份報告資料屬性聲明】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1. 本文件中所出現之課程代碼（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S-COURSE-01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）、人員編號（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S-EMP-01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至 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S-EMP-06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）、日期區間（2026-03-16 至 2026-06-14）、數據比率及日誌代碼（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SAMPLE/SYS-LOG-*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），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全數為合成模擬範例（SAMPLE / SYNTHETIC DATA）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，並非任何公協會或機構之真實營運紀錄。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2. TTQS 官方指引並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未提供通用之數值合格門檻（No official common numeric pass threshold）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。本表所列基準、指標定義與樣本數充足性，於正式導入時，必須由機構內部權責主管依業務特性事前核定。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3. 本分析表旨在呈現「受訓個人於特定工作任務之績效前後客觀數據變化」，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不代表亦不得直接宣稱訓練與績效改善間具備絕對因果關係（Causality）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，嚴禁將課堂測驗成績、行為改變與組織整體績效混為一談。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壹、三十秒使用說明與作業治理規範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一、30 秒快速導讀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編製人員：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訓練專案管理師／訓練行政專責人員。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編製時機：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訓後工作成果檢視期結束時（本範例為訓後 30 至 60 天追蹤區間）。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REAL 資料來源類型：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經授權的工作系統初審紀錄、可追溯的抽樣清冊與課堂實作原件。這些原件本範例尚未提供；稿內數值僅來自合成 SAMPLE 表。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支援決策：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評估個別人員之課堂學習成果是否有效轉移至日常工作任務。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識別訓後績效持平或下滑之個案，啟動個別化輔導、補訓或作業程序再檢視。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作為次年度課程規劃、教材難易度調整與職能缺口分析之校準依據。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嚴禁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直接作為人事懲戒、降薪或解聘之唯一依據。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二、作業治理與權限控管原則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本文件範疇界定：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本表專注於「個人層次（Individual Level）之工作任務產出成果」，嚴格區隔於指標 19-E14（薪資/升遷紀錄）與 19-E16（市場/客戶價值延伸效益）。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去識別化與隱私防護：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呈送外部評核或跨部門陳閱時，所有受訓學員真實姓名與員工編號必須轉換為代碼（如 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S-EMP-xx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）。真實身分對照表（Pseudonym Key）必須由訓練專責人員單獨加密保管，嚴禁隨附於公開文檔。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貳、作業路徑與績效指標資料字典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一、實際使用時的作業路徑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確認工作任務與能力缺口。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先從有權限的職務資料或訓練需求紀錄，寫明員工要完成的工作、目前落差及本次訓練要練習的能力。本頁示例只提供「資料欄位／程序核對能力缺口」與「報名資料首次核對正確率」；沒有提供真實需求紀錄。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先定義量法，再收集前測。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由有權責者在量測前核定工作任務、正確分子的判準、分母範圍、排除條件、資料期間、抽樣方式及合理樣本量。這些是實際執行前要確認的項目，不是本範例已完成的核定，也沒有統一官方數值門檻。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記錄訓練和學習評量。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連結課程計畫、出席資料及實作評量原件。本範例僅有課程代碼與技能示範分數；課程名稱、課程內容、時數、實際出席及原始測驗卷均為 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UNKNOWN_UNTIL_SOURCE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使用同一工作定義收集訓後資料。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訓後資料須按事前核定的期間及抽樣規則取得，保留來源定位及排除紀錄。示例期間與每期 20 件只是合成資料設定，不能當作協會已執行的抽樣或官方最低樣本數。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檢查可比性並重算。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對照任務、分子分母、工具版本、案件組成及工作環境；無法確認或校正的差異應標示並暫緩解讀。先合併分子與分母算整體率，再計算百分點差，不以六個百分率的簡單平均取代加權比率。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作出描述性判讀並追蹤。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先說清楚觀察到上升、持平或下降，再交代證據限制；不能單憑前後比較宣稱訓練造成結果。若資料未取得或不具可比性，維持 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HOLD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，並列出補件及下一個責任角色。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二、欄位與計算字典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定義及使用方式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本範例可確認的內容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工作指標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報名資料首次核對正確率；只描述指定工作任務，不代表整體工作表現。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 情境。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正確分子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依事前核定判準，第一次核對即符合要求的案件數。需能回查逐件紀錄。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合成資料提供各案分子；沒有 REAL 原始紀錄。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分母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同期間納入相同任務的可比案件總數；排除規則及其理由須事前記錄。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每案每期 20 件是此 SAMPLE 的設定，非官方門檻。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比率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正確分子 ÷ 分母 × 100%。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六案前後比率可由合成分子分母重算。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百分點差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訓後百分率 − 訓前百分率。不得寫成相對成長百分率。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合併分子/分母計算；此處為 +6.6667 個百分點。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技能示範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課堂或練習中的學習表現，須與工作資料分欄呈現。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合成分數 33/60 至 48/60；不等於職場 KPI。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來源定位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使用經授權的系統紀錄、工作樣本或評量原件位置，保留版本及期間；公開稿僅留去識別化索引。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SAMPLE/SYS-LOG-*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是示例代碼，並無真實系統日誌。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目標與樣本充分性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由具權責者在量測前，依工作任務、風險、資料量和取樣方法設定並留痕。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無統一官方及格門檻；本範例沒有核定門檻。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排除特殊任務、協作案件或系統異常案件時，應先訂出可重現規則，保留排除筆數與理由；不能看到結果後才選擇性剔除。實際抽樣方法、案件難度分層及核定角色均須由 REAL 來源確認，本範例不宣稱已採用隨機抽樣。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參、六案個案績效前後對比分析總表（SAMPLE 資料集）</w:t>
      </w:r>
    </w:p>
    <w:p>
      <w:pPr>
        <w:spacing w:before="60" w:after="60"/>
        <w:ind w:left="202"/>
        <w:shd w:fill="EAF2F8"/>
      </w:pPr>
      <w:r>
        <w:rPr>
          <w:rFonts w:ascii="Microsoft JhengHei" w:hAnsi="Microsoft JhengHei" w:eastAsia="Microsoft JhengHei" w:cs="Microsoft JhengHei"/>
          <w:b/>
          <w:i w:val="0"/>
          <w:color w:val="194169"/>
          <w:sz w:val="21"/>
        </w:rPr>
        <w:t>資料提醒｜NOTE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本表所有數據為合成模擬資料（SAMPLE）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。設計情境：6 名受訓人員於訓前（2026-03-16 至 2026-04-14）與訓後（2026-05-16 至 2026-06-14）各抽樣 20 件可比案件，總計各 120 件。工作負荷與系統工具版本保持恆定為設計假設，非現實檢驗結果。</w:t>
      </w:r>
    </w:p>
    <w:p>
      <w:pPr>
        <w:sectPr>
          <w:footerReference w:type="default" r:id="rId9"/>
          <w:pgSz w:w="11909" w:h="16834"/>
          <w:pgMar w:top="936" w:right="979" w:bottom="936" w:left="979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25"/>
        <w:gridCol w:w="1525"/>
        <w:gridCol w:w="1525"/>
        <w:gridCol w:w="1525"/>
        <w:gridCol w:w="1525"/>
        <w:gridCol w:w="1525"/>
        <w:gridCol w:w="1525"/>
        <w:gridCol w:w="1525"/>
        <w:gridCol w:w="1525"/>
        <w:gridCol w:w="1525"/>
      </w:tblGrid>
      <w:tr>
        <w:trPr>
          <w:cantSplit/>
          <w:tblHeader w:val="true"/>
        </w:trPr>
        <w:tc>
          <w:tcPr>
            <w:tcW w:type="dxa" w:w="11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個案代碼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訓前正確數 / 總數 (n=20)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訓前正確率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訓後正確數 / 總數 (n=20)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訓後正確率</w:t>
            </w:r>
          </w:p>
        </w:tc>
        <w:tc>
          <w:tcPr>
            <w:tcW w:type="dxa" w:w="12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職場 KPI 變動 (百分點)</w:t>
            </w:r>
          </w:p>
        </w:tc>
        <w:tc>
          <w:tcPr>
            <w:tcW w:type="dxa" w:w="1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課堂實作分數 (訓前 → 訓後 / 滿分10)</w:t>
            </w:r>
          </w:p>
        </w:tc>
        <w:tc>
          <w:tcPr>
            <w:tcW w:type="dxa" w:w="17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系統日誌證據編號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觀察查核狀態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個案績效變動判定</w:t>
            </w:r>
          </w:p>
        </w:tc>
      </w:tr>
      <w:tr>
        <w:trPr>
          <w:cantSplit/>
        </w:trPr>
        <w:tc>
          <w:tcPr>
            <w:tcW w:type="dxa" w:w="11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S-EMP-01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14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70.00%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18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90.00%</w:t>
            </w:r>
          </w:p>
        </w:tc>
        <w:tc>
          <w:tcPr>
            <w:tcW w:type="dxa" w:w="12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+20.00 pp</w:t>
            </w:r>
          </w:p>
        </w:tc>
        <w:tc>
          <w:tcPr>
            <w:tcW w:type="dxa" w:w="1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 → 8 (+4)</w:t>
            </w:r>
          </w:p>
        </w:tc>
        <w:tc>
          <w:tcPr>
            <w:tcW w:type="dxa" w:w="17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SAMPLE/SYS-LOG-S-EMP-01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SAMPLE_ONLY_NO_REAL_OBSERVER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觀察到上升（+20.00 pp；SAMPLE）</w:t>
            </w:r>
          </w:p>
        </w:tc>
      </w:tr>
      <w:tr>
        <w:trPr>
          <w:cantSplit/>
        </w:trPr>
        <w:tc>
          <w:tcPr>
            <w:tcW w:type="dxa" w:w="11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S-EMP-02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16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80.00%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18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90.00%</w:t>
            </w:r>
          </w:p>
        </w:tc>
        <w:tc>
          <w:tcPr>
            <w:tcW w:type="dxa" w:w="12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+10.00 pp</w:t>
            </w:r>
          </w:p>
        </w:tc>
        <w:tc>
          <w:tcPr>
            <w:tcW w:type="dxa" w:w="1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 → 8 (+3)</w:t>
            </w:r>
          </w:p>
        </w:tc>
        <w:tc>
          <w:tcPr>
            <w:tcW w:type="dxa" w:w="17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SAMPLE/SYS-LOG-S-EMP-02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SAMPLE_ONLY_NO_REAL_OBSERVER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觀察到上升（+10.00 pp；SAMPLE）</w:t>
            </w:r>
          </w:p>
        </w:tc>
      </w:tr>
      <w:tr>
        <w:trPr>
          <w:cantSplit/>
        </w:trPr>
        <w:tc>
          <w:tcPr>
            <w:tcW w:type="dxa" w:w="11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S-EMP-03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15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75.00%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14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70.00%</w:t>
            </w:r>
          </w:p>
        </w:tc>
        <w:tc>
          <w:tcPr>
            <w:tcW w:type="dxa" w:w="12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-5.00 pp</w:t>
            </w:r>
          </w:p>
        </w:tc>
        <w:tc>
          <w:tcPr>
            <w:tcW w:type="dxa" w:w="1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 → 7 (+1)</w:t>
            </w:r>
          </w:p>
        </w:tc>
        <w:tc>
          <w:tcPr>
            <w:tcW w:type="dxa" w:w="17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SAMPLE/SYS-LOG-S-EMP-03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SAMPLE_ONLY_NO_REAL_OBSERVER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微幅下滑（需輔導排查）</w:t>
            </w:r>
          </w:p>
        </w:tc>
      </w:tr>
      <w:tr>
        <w:trPr>
          <w:cantSplit/>
        </w:trPr>
        <w:tc>
          <w:tcPr>
            <w:tcW w:type="dxa" w:w="11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S-EMP-04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18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90.00%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19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95.00%</w:t>
            </w:r>
          </w:p>
        </w:tc>
        <w:tc>
          <w:tcPr>
            <w:tcW w:type="dxa" w:w="12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+5.00 pp</w:t>
            </w:r>
          </w:p>
        </w:tc>
        <w:tc>
          <w:tcPr>
            <w:tcW w:type="dxa" w:w="1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 → 9 (+2)</w:t>
            </w:r>
          </w:p>
        </w:tc>
        <w:tc>
          <w:tcPr>
            <w:tcW w:type="dxa" w:w="17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SAMPLE/SYS-LOG-S-EMP-04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SAMPLE_ONLY_NO_REAL_OBSERVER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觀察到上升（+5.00 pp；SAMPLE）</w:t>
            </w:r>
          </w:p>
        </w:tc>
      </w:tr>
      <w:tr>
        <w:trPr>
          <w:cantSplit/>
        </w:trPr>
        <w:tc>
          <w:tcPr>
            <w:tcW w:type="dxa" w:w="11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S-EMP-05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13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65.00%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15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75.00%</w:t>
            </w:r>
          </w:p>
        </w:tc>
        <w:tc>
          <w:tcPr>
            <w:tcW w:type="dxa" w:w="12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+10.00 pp</w:t>
            </w:r>
          </w:p>
        </w:tc>
        <w:tc>
          <w:tcPr>
            <w:tcW w:type="dxa" w:w="1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 → 7 (+4)</w:t>
            </w:r>
          </w:p>
        </w:tc>
        <w:tc>
          <w:tcPr>
            <w:tcW w:type="dxa" w:w="17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SAMPLE/SYS-LOG-S-EMP-05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SAMPLE_ONLY_NO_REAL_OBSERVER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觀察到上升（+10.00 pp；SAMPLE）</w:t>
            </w:r>
          </w:p>
        </w:tc>
      </w:tr>
      <w:tr>
        <w:trPr>
          <w:cantSplit/>
        </w:trPr>
        <w:tc>
          <w:tcPr>
            <w:tcW w:type="dxa" w:w="11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S-EMP-06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17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85.00%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17 / 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85.00%</w:t>
            </w:r>
          </w:p>
        </w:tc>
        <w:tc>
          <w:tcPr>
            <w:tcW w:type="dxa" w:w="12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0.00 pp</w:t>
            </w:r>
          </w:p>
        </w:tc>
        <w:tc>
          <w:tcPr>
            <w:tcW w:type="dxa" w:w="1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8 → 9 (+1)</w:t>
            </w:r>
          </w:p>
        </w:tc>
        <w:tc>
          <w:tcPr>
            <w:tcW w:type="dxa" w:w="17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SAMPLE/SYS-LOG-S-EMP-06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SAMPLE_ONLY_NO_REAL_OBSERVER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持平未變（高基線維持）</w:t>
            </w:r>
          </w:p>
        </w:tc>
      </w:tr>
      <w:tr>
        <w:trPr>
          <w:cantSplit/>
        </w:trPr>
        <w:tc>
          <w:tcPr>
            <w:tcW w:type="dxa" w:w="117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合併分子分母 / 加權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93 / 120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77.50%</w:t>
            </w:r>
          </w:p>
        </w:tc>
        <w:tc>
          <w:tcPr>
            <w:tcW w:type="dxa" w:w="15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101 / 120</w:t>
            </w:r>
          </w:p>
        </w:tc>
        <w:tc>
          <w:tcPr>
            <w:tcW w:type="dxa" w:w="96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84.17%</w:t>
            </w:r>
          </w:p>
        </w:tc>
        <w:tc>
          <w:tcPr>
            <w:tcW w:type="dxa" w:w="1271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+6.67 pp</w:t>
            </w:r>
          </w:p>
        </w:tc>
        <w:tc>
          <w:tcPr>
            <w:tcW w:type="dxa" w:w="155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33/60 (55%) → 48/60 (80%)</w:t>
            </w:r>
          </w:p>
        </w:tc>
        <w:tc>
          <w:tcPr>
            <w:tcW w:type="dxa" w:w="173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6 個 SAMPLE 日誌定位碼示例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全數為模擬審查</w:t>
            </w:r>
          </w:p>
        </w:tc>
        <w:tc>
          <w:tcPr>
            <w:tcW w:type="dxa" w:w="224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整體加權比率差 +6.6667 pp（SAMPLE）</w:t>
            </w:r>
          </w:p>
        </w:tc>
      </w:tr>
    </w:tbl>
    <w:p>
      <w:pPr>
        <w:spacing w:after="20"/>
      </w:pPr>
    </w:p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spacing w:before="60" w:after="60"/>
        <w:ind w:left="202"/>
        <w:shd w:fill="EAF2F8"/>
      </w:pPr>
      <w:r>
        <w:rPr>
          <w:rFonts w:ascii="Microsoft JhengHei" w:hAnsi="Microsoft JhengHei" w:eastAsia="Microsoft JhengHei" w:cs="Microsoft JhengHei"/>
          <w:b/>
          <w:i w:val="0"/>
          <w:color w:val="194169"/>
          <w:sz w:val="21"/>
        </w:rPr>
        <w:t>資料提醒｜IMPORTANT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【數據結構與屬性分析警語】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職場 KPI 與課堂實作之本質差異：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課堂實作總分由 33/60（55.00%）提升至 48/60（80.00%），增長 25 個百分點，此為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層次二（學習成果）之課堂演練示範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，僅能證明學員具備知識吸收能力，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絕非日常工作之績效指標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多元案例並存：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本樣本集完整保留改善（4案）、下滑（1案：S-EMP-03）與持平（1案：S-EMP-06），展示合成案例中不同方向的變化；資料來源未提供抽樣方法，因此不宣稱真實營運型態或抽樣完整性。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肆、S-EMP-01 完整計算示範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一、示例中可用的已知欄位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S-EMP-01 是虛構代碼，角色為 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SAMPLE_ROLE_COURSE_ADMIN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。資料只標示能力落差為「資料欄位／程序核對能力缺口」，工作任務為「報名資料首次核對正確率」，課程代碼為 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S-COURSE-01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。課程實際名稱、教材、時數、出席及學員身分均沒有 REAL 原件，不能補寫成已發生的事實。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二、工作 KPI 逐式重算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訓前 SAMPLE 期間為 2026-03-16 至 2026-04-14，首次核對正確 14 件、納入 20 件：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訓前比率 = 14 ÷ 20 × 100% = 70.00%。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訓後 SAMPLE 期間為 2026-05-16 至 2026-06-14，首次核對正確 18 件、納入 20 件：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訓後比率 = 18 ÷ 20 × 100% = 90.00%。</w:t>
      </w:r>
    </w:p>
    <w:p>
      <w:r>
        <w:rPr>
          <w:rFonts w:ascii="Microsoft JhengHei" w:hAnsi="Microsoft JhengHei" w:eastAsia="Microsoft JhengHei" w:cs="Microsoft JhengHei"/>
          <w:b/>
          <w:i w:val="0"/>
          <w:sz w:val="21"/>
        </w:rPr>
        <w:t>前後百分點差 = 90.00% − 70.00% = +20.00 個百分點。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這是合成資料中的描述性變化；沒有逐件 REAL 日誌，因此不能說真實工作績效已改善。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三、學習示範與工作成果分開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本案技能示範分數由 4/10 到 8/10，表示 SAMPLE 練習分數增加 4 分。該分數不是職場 KPI，也沒有提供題本、評分規準或正式測驗紀錄。示範工作 KPI 的變化是另一個資料欄位；兩者同時變化也不能證明因果。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四、解讀及建議後續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此示例只能說：在設定的合成數據中，工作指標由 70.00% 變成 90.00%。實際任務難度、工作量、流程版本、同期訓練、觀察者及原始紀錄均未查證。取得 REAL 原件前，應將結論維持 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SAMPLE_ONLY / REAL=UNKNOWN_UNTIL_SOURCE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。若實際資料也出現下降或缺漏，再由有權責者按第捌節流程判讀；本範例沒有記錄任何主管晤談、輔導或核定決議。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伍、個人訓練到工作成果的佐證鏈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每個節點都要連到可授權查閱的實際紀錄。下表只說明應蒐集的資料種類；除合成 CSV 中的數字外，沒有任何一項 REAL 原件在本範例中可供查證。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佐證節點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需要核對的內容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本範例狀態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需求與能力落差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工作任務、能力差距及訓練需求的核定紀錄。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只有 SAMPLE 情境文字；REAL=UNKNOWN。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課程與參訓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課程計畫、實際課程日期、出席與完成紀錄。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代碼及示例日期不等於實際課程或出席證據；REAL=UNKNOWN。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學習評量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題本、評分規準、原始答題或實作結果。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只有合成分數；原始評量件不存在於本範例。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訓前工作資料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指標定義、期間、分母、逐件工作樣本及來源系統。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僅有合成分子分母；</w:t>
            </w: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SAMPLE/SYS-LOG-*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 xml:space="preserve"> 不是實際日誌。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訓後工作資料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同口徑期間、逐件結果、資料來源及排除清冊。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僅有合成分子分母；REAL=UNKNOWN。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覆核與觀察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覆核者被授權的角色、核對方法及可追溯紀錄。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SAMPLE_ONLY_NO_REAL_OBSERVER</w:t>
            </w: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；沒有主管觀察或簽核。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限制及結論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可比性、混雜因素、資料完整性及後續處理。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假設不得當作查證結果；REAL=UNKNOWN。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隱私及存取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處理依據、去識別化方式、代碼對照表的權限與保存期限。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僅為操作要求；沒有實際授權或存取紀錄。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取得原件後，正文只記必要的去識別化摘要、資料期間、版本和受權核實角色；身分對照表另置於有權限的位置，不放入公開候選。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陸、訓後 30、60、90 日追蹤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下列日期由 SAMPLE 課程日期 2026-04-15 推算，只示範如何排程；不是實際課程或追蹤紀錄。所有實際結果仍為 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UNKNOWN / NOT COLLECTED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cantSplit/>
          <w:tblHeader w:val="true"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節點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SAMPLE 示範到期日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實際要收集的內容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判讀方式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狀態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T+30 日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2026-05-15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確認是否有工作應用樣本、流程障礙或需要的支持。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按事前核定的觀察方式記錄，不以單次訪談取代工作資料。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 / NOT COLLECTED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T+60 日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2026-06-14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在可比任務上收集訓後工作 KPI 和來源定位。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按相同指標定義重算；缺來源或口徑改變則 HOLD。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 / NOT COLLECTED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T+90 日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2026-07-14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檢查工作運用是否持續、是否有新干擾因素及後續需求。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記錄實際證據、限制、責任角色與下一期限。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 / NOT COLLECTED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本示例沒有提供任何 30／60／90 日觀察值，也沒有協會核定的目標值。實際目標、樣本充分性及介入方式應由有權責者在資料收集前核定；不能以本表日期或合成結果替代核准。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柒、資料品質與混雜因素檢查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在比較前後數據時逐項檢查。只要有重大差異未能排除或說明，就暫緩把變化解讀成可比較結果。以下檢查方法是操作建議；本範例沒有實際查核紀錄。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rPr>
          <w:cantSplit/>
          <w:tblHeader w:val="true"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檢查項目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為何會影響比較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實際查核及處理方法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本範例查證狀態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任務及案件難度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後測較簡單可能抬高正確率；較困難則可能壓低。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對照任務類型與複雜度；差異不能校正時 HOLD。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UNKNOWN_UNTIL_SOURCE；同質性只是 SAMPLE 假設。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工作量與人力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工作量、排班或協作改變會影響個人結果。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取得期間工作量與協助紀錄，分清個人與共同作業。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UNKNOWN_UNTIL_SOURCE。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系統、表單及程序版本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防呆或欄位變更可能造成表面改善。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查版本及變更日期；有變更時分層比較或另建基線。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UNKNOWN_UNTIL_SOURCE；沒有已查證版本。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旺淡季與案件組成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不同時段工作結構可能不同。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對照期間及案件組成，說明是否可比。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UNKNOWN_UNTIL_SOURCE。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同期訓練或其他支持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其他介入可能同時影響結果。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查訓練及支持紀錄，不以未詢問代替證據。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UNKNOWN_UNTIL_SOURCE。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抽樣偏差及遺漏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選件方式或遺漏可能改變分子分母。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保存事前抽樣規則、抽樣框、排除筆數及缺漏原因。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UNKNOWN_UNTIL_SOURCE；方法未提供。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指標判準漂移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前後對「正確」的定義不同，比例不可直接相比。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使用同一版判準；如有修訂，逐項說明並重新計算。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UNKNOWN_UNTIL_SOURCE。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覆核者偏差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覆核者知道受訓狀態可能影響判斷。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依權責安排覆核並保留角色、日期、判準及核實紀錄。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UNKNOWN_UNTIL_SOURCE；本例無 REAL observer。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日誌完整性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缺漏或重複紀錄會改變分母。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與來源系統總量勾稽，保存差異及更正軌跡。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UNKNOWN_UNTIL_SOURCE。</w:t>
            </w:r>
          </w:p>
        </w:tc>
      </w:tr>
      <w:tr>
        <w:trPr>
          <w:cantSplit/>
        </w:trPr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個資與授權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不當識別或分享會造成隱私風險。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確認處理依據、最小揭露、保存期限及存取權限。</w:t>
            </w:r>
          </w:p>
        </w:tc>
        <w:tc>
          <w:tcPr>
            <w:tcW w:type="dxa" w:w="248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UNKNOWN_UNTIL_SOURCE。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捌、判讀流程與 HOLD／REJECT 條件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一、先檢查資料，再描述變化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來源與授權。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訓前、訓後資料及工作者身分須能由合法來源核對。缺原件、授權或去識別化依據時，標 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HOLD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，不得以 SAMPLE 取代 REAL。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口徑與期間。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確認任務、KPI 定義、分子、分母及期間一致。無法比較或排除重大變更時，先 </w:t>
      </w:r>
      <w:r>
        <w:rPr>
          <w:rFonts w:ascii="Microsoft JhengHei Mono" w:hAnsi="Microsoft JhengHei Mono" w:eastAsia="Microsoft JhengHei Mono" w:cs="Microsoft JhengHei Mono"/>
          <w:b w:val="0"/>
          <w:i w:val="0"/>
          <w:sz w:val="21"/>
        </w:rPr>
        <w:t>HOLD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，不能直接解讀增減。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重算。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對照逐件來源重算分子、分母、比率和百分點差。數字不一致時停止使用該結論，修正資料或計算後再核對。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描述方向。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資料可比時，百分點差大於零記為「觀察到上升」、等於零記為「觀察到持平」、小於零記為「觀察到下降」。這些是描述性分類，不代表統計顯著、官方及格、或因訓練造成。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套用事前標準。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若機構需要判斷是否達到內部目標，必須使用資料收集前由有權責者核定的目標及樣本充分性方法，記下來源與日期。本範例沒有這類核定，不設定固定百分比或筆數門檻。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二、後續處理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結果狀態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判定原則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建議下一步（須依實際權責核定）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觀察到上升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同口徑資料重算後，訓後比率高於訓前。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查混雜因素並描述限制；不把全部變化歸因於訓練。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觀察到持平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同口徑資料重算後，前後相同；若有事前容忍區間，按核定規則判斷。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查是否有維持能力、工作環境障礙或指標敏感度問題。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觀察到下降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同口徑資料重算後，訓後比率低於訓前。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保留負向個案，核對原件及任務難度，再由有權角色決定支持措施。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證據不足／HOLD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缺一方原件、身分或授權不明、口徑/期間不同、樣本不足以回答事前問題、追蹤未到或未收集，或重大混雜因素未釐清。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列出缺項、責任角色和可補正日期；補證前不下 REAL 成效結論。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REJECT 資料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發現偽造原件/簽章、把 SAMPLE 冒充 REAL、隱藏指標定義改變、算式無法重現，或刪去負向個案。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隔離有問題的證據、保留更正軌跡；不得用該資料作正式佐證。REJECT 指資料，不是對人員下人事判決。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本表沒有設定「顯著改善」或統計檢定結論；未提供抽樣設計與統計假設，故不宣稱統計顯著性。樣例中的 S-EMP-03 下降 5 個百分點、S-EMP-06 持平，都必須留在比較表中。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玖、REAL 實際資料替換表單</w:t>
      </w:r>
    </w:p>
    <w:p>
      <w:pPr>
        <w:spacing w:before="60" w:after="60"/>
        <w:ind w:left="202"/>
        <w:shd w:fill="EAF2F8"/>
      </w:pPr>
      <w:r>
        <w:rPr>
          <w:rFonts w:ascii="Microsoft JhengHei" w:hAnsi="Microsoft JhengHei" w:eastAsia="Microsoft JhengHei" w:cs="Microsoft JhengHei"/>
          <w:b/>
          <w:i w:val="0"/>
          <w:color w:val="194169"/>
          <w:sz w:val="21"/>
        </w:rPr>
        <w:t>資料提醒｜IMPORTANT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【正式營運替換表單填寫指引】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以下區塊為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供機構導入時實際填寫之空白表單（REAL FORM）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。使用時請將所有欄位依真實業務數據填入。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資安要求：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「受訓人員代碼對照清冊」為極機密資料，必須由訓練/人事專責人員個別封裝存檔，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不得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附加於送交外審或陳閱之本表後方。</w:t>
      </w:r>
    </w:p>
    <w:p>
      <w:pPr>
        <w:spacing w:after="100"/>
        <w:ind w:left="317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====================================================================================================</w:t>
        <w:br/>
        <w:t xml:space="preserve">               【機構名稱】個人訓後績效改善個案分析表（正式運作紀錄）</w:t>
        <w:br/>
        <w:t>====================================================================================================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一、基本作業資訊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主辦部門：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＿＿＿＿＿＿＿＿＿＿＿＿＿＿＿　　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文件編號：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＿＿＿＿＿＿＿＿＿＿＿＿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填表人員：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＿＿＿＿＿＿＿＿＿＿＿＿＿＿＿　　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填表日期：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年　　月　　日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對應課程：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＿＿＿＿＿＿＿＿＿＿＿＿＿＿＿　　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培訓日期：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年　　月　　日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職能缺口項目：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＿＿＿＿＿＿＿＿＿＿＿＿＿＿＿＿＿＿＿＿＿＿＿＿＿＿＿＿＿＿＿＿＿＿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工作評估任務：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＿＿＿＿＿＿＿＿＿＿＿＿＿＿＿＿＿＿＿＿＿＿＿＿＿＿＿＿＿＿＿＿＿＿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考核指標名稱：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＿＿＿＿＿＿＿＿＿＿＿＿＿＿＿（單位：＿＿＿＿＿，分子：＿＿＿，分母：＿＿＿）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事前核定的內部目標（如適用）：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＿＿＿＿＿＿＿＿＿＿＿＿（核定角色／日期／依據：＿＿＿＿＿＿＿＿）本欄不是官方通用門檻。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二、個人訓前後工作資料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下表僅供取得授權後記錄 REAL 資料；目前每格均未填，不能當成已完成的訓後成果。若實際個案數不同，可依同一欄位定義增刪列，並保留版本紀錄。</w:t>
      </w:r>
    </w:p>
    <w:p>
      <w:pPr>
        <w:sectPr>
          <w:pgSz w:w="11909" w:h="16834"/>
          <w:pgMar w:top="936" w:right="979" w:bottom="936" w:left="979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cantSplit/>
          <w:tblHeader w:val="true"/>
        </w:trPr>
        <w:tc>
          <w:tcPr>
            <w:tcW w:type="dxa" w:w="80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序號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受訓者代碼</w:t>
            </w: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訓前期間</w:t>
            </w: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訓前正確件／納入件</w:t>
            </w: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訓後期間</w:t>
            </w: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訓後正確件／納入件</w:t>
            </w:r>
          </w:p>
        </w:tc>
        <w:tc>
          <w:tcPr>
            <w:tcW w:type="dxa" w:w="152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百分點差</w:t>
            </w:r>
          </w:p>
        </w:tc>
        <w:tc>
          <w:tcPr>
            <w:tcW w:type="dxa" w:w="21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來源定位</w:t>
            </w:r>
          </w:p>
        </w:tc>
      </w:tr>
      <w:tr>
        <w:trPr>
          <w:cantSplit/>
        </w:trPr>
        <w:tc>
          <w:tcPr>
            <w:tcW w:type="dxa" w:w="80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52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1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80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52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1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80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52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1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80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52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1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80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52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1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80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29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06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52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215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</w:tr>
    </w:tbl>
    <w:p>
      <w:pPr>
        <w:spacing w:after="20"/>
      </w:pPr>
    </w:p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三、技能示範評量（與職場 KPI 分開）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cantSplit/>
          <w:tblHeader w:val="true"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序號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受訓者代碼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訓前得分／滿分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訓後得分／滿分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題本、評分規準及原件定位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5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6</w:t>
            </w: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  <w:tc>
          <w:tcPr>
            <w:tcW w:type="dxa" w:w="1990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填寫前先確認測驗題本及評分規準版本一致；本表的學習分數不可代替工作 KPI。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四、干擾變數排除審核簽核表（逐案勾稽）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前後期抽樣案件之複雜度與業務規格是否嚴格對等？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□ 是　□ 否，處置說明：＿＿＿＿＿＿＿＿＿＿＿＿＿＿＿＿＿＿＿＿＿＿＿＿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抽樣期間系統工具、SOP、表單版本是否完全無重大異動？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□ 是　□ 否，版本差異說明：＿＿＿＿＿＿＿＿＿＿＿＿＿＿＿＿＿＿＿＿＿＿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抽樣案件是否已完全剔除主管協同審查及他人代簽案件？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□ 是　□ 否，剔除件數說明：＿＿＿＿＿＿＿＿＿＿＿＿＿＿＿＿＿＿＿＿＿＿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是否存在其他可能干擾成效之重大環境變數（如業務整併、組織重組）？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□ 無　□ 有，影響評估：＿＿＿＿＿＿＿＿＿＿＿＿＿＿＿＿＿＿＿＿＿＿＿＿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sz w:val="25"/>
        </w:rPr>
        <w:t>五、審核決策與核決簽章欄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個案綜合分析結論：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□ 判定整體成效良好（通過轉移驗證）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□ 判定部分持平或下滑（啟動下方後續改善措施）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□ 數據受重大干擾，判定為暫緩/無效（HOLD / REJECT），需重新抽樣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異常個案輔導處置計畫（若有）：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＿＿＿＿＿＿＿＿＿＿＿＿＿＿＿＿＿＿＿＿＿＿＿＿＿＿＿＿＿＿＿＿＿＿＿＿＿＿＿＿＿＿＿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＿＿＿＿＿＿＿＿＿＿＿＿＿＿＿＿＿＿＿＿＿＿＿＿＿＿＿＿＿＿＿＿＿＿＿＿＿＿＿＿＿＿＿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cantSplit/>
          <w:tblHeader w:val="true"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評估填表人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業務主管覆核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訓練專責主管核定</w:t>
            </w:r>
          </w:p>
        </w:tc>
      </w:tr>
      <w:tr>
        <w:trPr>
          <w:cantSplit/>
        </w:trPr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簽名/日期：＿＿＿＿＿＿＿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簽名/日期：＿＿＿＿＿＿＿</w:t>
            </w:r>
          </w:p>
        </w:tc>
        <w:tc>
          <w:tcPr>
            <w:tcW w:type="dxa" w:w="3317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簽名/日期：＿＿＿＿＿＿＿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拾、真實資料替換清單（RR-01 至 RR-12）</w:t>
      </w:r>
    </w:p>
    <w:p>
      <w:pPr>
        <w:spacing w:before="60" w:after="60"/>
        <w:ind w:left="202"/>
        <w:shd w:fill="EAF2F8"/>
      </w:pPr>
      <w:r>
        <w:rPr>
          <w:rFonts w:ascii="Microsoft JhengHei" w:hAnsi="Microsoft JhengHei" w:eastAsia="Microsoft JhengHei" w:cs="Microsoft JhengHei"/>
          <w:b/>
          <w:i w:val="0"/>
          <w:color w:val="194169"/>
          <w:sz w:val="21"/>
        </w:rPr>
        <w:t>資料提醒｜NOTE</w:t>
      </w:r>
    </w:p>
    <w:p>
      <w:pPr>
        <w:spacing w:after="100"/>
        <w:ind w:left="259" w:right="173"/>
        <w:shd w:fill="F4F7FA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機構在將本範本轉換為正式評核佐證前，必須依序查核下列 12 項查驗點（Replacement Requirements, RR）。目前在未介接機構真實營運系統與授權前，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所有真實項目之狀態均客觀列為 `UNKNOWN_UNTIL_SOURCE`（待正式來源提供前均為未知）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sectPr>
          <w:pgSz w:w="11909" w:h="16834"/>
          <w:pgMar w:top="936" w:right="979" w:bottom="936" w:left="979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cantSplit/>
          <w:tblHeader w:val="true"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檢核編號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查核要項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建議取得的真實資料來源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填表前需確認的內容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243B53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當前狀態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RR-01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課程與職能需求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年度訓練計畫書、職能缺口訪談表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載明能連結到具體工作任務與能力落差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RR-02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人員身分與個資授權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受訓學員個資授權同意書、身分代碼表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確認授權與代碼表分離保管的實際紀錄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RR-03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參訓出席與簽到紀錄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課堂實體/電子簽到退表、請假單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依實際課程及機構適用規範核對出席情形；本範例未提供紀錄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RR-04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訓前基線數據來源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業務系統原始初審日誌、抽樣清冊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可追溯期間、逐件資料及初審紀錄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RR-05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訓後成效數據來源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訓後冷卻期系統日誌、覆核報表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依事前核定的追蹤期間核對；本範例日期僅為 SAMPLE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RR-06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KPI 字典與門檻定義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內部指標核定簽呈、作業手冊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包含明確分子分母與權責主管簽章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RR-07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課堂實作評量卷宗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學員實作測驗紙本、線上測驗紀錄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保留給分規準與原始結果，區隔於滿意度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RR-08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職場實際工作樣卷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抽樣個案之實際表單、系統稽核截圖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案件說明可比性、抽樣方法及已知偏差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RR-09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觀察/覆核者身分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覆核主管派任紀錄、審查資格表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確認覆核者真實角色及其查核權限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RR-10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干擾變數查證紀錄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資訊系統變更紀錄、業務量統計表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記錄已查明的變數與未能排除的限制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RR-11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隱私保護隔離驗證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資安稽核軌跡、存取權限列表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檢查公開版本的資料最小化與識別風險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RR-12</w:t>
            </w:r>
          </w:p>
        </w:tc>
        <w:tc>
          <w:tcPr>
            <w:tcW w:type="dxa" w:w="2716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19"/>
              </w:rPr>
              <w:t>結論簽核與追蹤計畫</w:t>
            </w:r>
          </w:p>
        </w:tc>
        <w:tc>
          <w:tcPr>
            <w:tcW w:type="dxa" w:w="4444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正式簽核表單、T+90 天排程表</w:t>
            </w:r>
          </w:p>
        </w:tc>
        <w:tc>
          <w:tcPr>
            <w:tcW w:type="dxa" w:w="4938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9"/>
              </w:rPr>
              <w:t>依機構核定的責任與授權流程辦理</w:t>
            </w:r>
          </w:p>
        </w:tc>
        <w:tc>
          <w:tcPr>
            <w:tcW w:type="dxa" w:w="1975"/>
            <w:vAlign w:val="center"/>
            <w:tcMar>
              <w:top w:w="65" w:type="dxa"/>
              <w:start w:w="75" w:type="dxa"/>
              <w:bottom w:w="65" w:type="dxa"/>
              <w:end w:w="75" w:type="dxa"/>
            </w:tcMar>
            <w:shd w:fill="F1F5F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 Mono" w:hAnsi="Microsoft JhengHei Mono" w:eastAsia="Microsoft JhengHei Mono" w:cs="Microsoft JhengHei Mono"/>
                <w:b w:val="0"/>
                <w:i w:val="0"/>
                <w:sz w:val="19"/>
              </w:rPr>
              <w:t>UNKNOWN_UNTIL_SOURCE</w:t>
            </w:r>
          </w:p>
        </w:tc>
      </w:tr>
    </w:tbl>
    <w:p>
      <w:pPr>
        <w:spacing w:after="20"/>
      </w:pPr>
    </w:p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sz w:val="30"/>
        </w:rPr>
        <w:t>拾壹、治理聲明與限制邊界公告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為落實作業透明度與符合評核誠信原則，本文件特明訂以下限制與法律治理邊界：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無正式簽核效力聲明：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本文件全篇所載內容（包含第參節之數據、第肆節之計算、第陸節之期程）均為方法論展示之合成範本，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本文件目前未具備任何特定公協會或機構之真實主管簽章、正式印信或合法決策授權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無真實實體參與聲明：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本案所指涉之課程名稱、代碼、受訓學員代碼、系統日誌編號及主管覆核紀錄，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均非真實存在之實體紀錄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，亦無真實公協會會員或內部員工涉入。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因果推論限制：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績效改善受多重組織環境變數牽引（如工作氣氛、績效獎酬、個人生涯規劃等）。本方法論展示前後期數值比較技術，</w:t>
      </w:r>
      <w:r>
        <w:rPr>
          <w:rFonts w:ascii="Microsoft JhengHei" w:hAnsi="Microsoft JhengHei" w:eastAsia="Microsoft JhengHei" w:cs="Microsoft JhengHei"/>
          <w:b/>
          <w:i w:val="0"/>
          <w:sz w:val="21"/>
        </w:rPr>
        <w:t>嚴禁用於宣稱培訓為促成績效改變之唯一或排他性原因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。</w:t>
      </w:r>
    </w:p>
    <w:p>
      <w:pPr>
        <w:pStyle w:val="ListNumber"/>
      </w:pPr>
      <w:r>
        <w:rPr>
          <w:rFonts w:ascii="Microsoft JhengHei" w:hAnsi="Microsoft JhengHei" w:eastAsia="Microsoft JhengHei" w:cs="Microsoft JhengHei"/>
          <w:b/>
          <w:i w:val="0"/>
          <w:sz w:val="21"/>
        </w:rPr>
        <w:t>外審採納條件：</w:t>
      </w: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 xml:space="preserve"> 本文件若欲作為 TTQS 評核之三階佐證文件，訓練管理人員必須依循第玖節之空白表單（REAL REPLACEMENT FORM），完整介接真實業務日誌，落實 RR-01 至 RR-12 檢核要點，並取得機構內部合法授權簽核後，方具備正式佐證效力。</w:t>
      </w:r>
    </w:p>
    <w:sectPr w:rsidR="00FC693F" w:rsidRPr="0006063C" w:rsidSect="00034616">
      <w:pgSz w:w="11909" w:h="16834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b w:val="0"/>
        <w:i w:val="0"/>
        <w:color w:val="46505C"/>
        <w:sz w:val="19"/>
      </w:rPr>
      <w:t>TTQS ONE 0128  |  SAMPLE / SYNTHETIC  |</w:t>
    </w:r>
    <w:r>
      <w:rPr>
        <w:rFonts w:ascii="Microsoft JhengHei" w:hAnsi="Microsoft JhengHei" w:eastAsia="Microsoft JhengHei" w:cs="Microsoft JhengHei"/>
        <w:color w:val="46505C"/>
        <w:sz w:val="19"/>
      </w:rPr>
    </w:r>
    <w:fldSimple w:instr="PAGE"/>
    <w:r>
      <w:rPr>
        <w:rFonts w:ascii="Microsoft JhengHei" w:hAnsi="Microsoft JhengHei" w:eastAsia="Microsoft JhengHei" w:cs="Microsoft JhengHei"/>
        <w:b w:val="0"/>
        <w:i w:val="0"/>
        <w:color w:val="46505C"/>
        <w:sz w:val="19"/>
      </w:rPr>
      <w:t>TTQS ONE 0128  |  SAMPLE / SYNTHETIC  |</w:t>
    </w:r>
    <w:r>
      <w:rPr>
        <w:rFonts w:ascii="Microsoft JhengHei" w:hAnsi="Microsoft JhengHei" w:eastAsia="Microsoft JhengHei" w:cs="Microsoft JhengHei"/>
        <w:color w:val="46505C"/>
        <w:sz w:val="19"/>
      </w:rPr>
    </w:r>
    <w:fldSimple w:instr="PAGE"/>
    <w:r>
      <w:rPr>
        <w:rFonts w:ascii="Microsoft JhengHei" w:hAnsi="Microsoft JhengHei" w:eastAsia="Microsoft JhengHei" w:cs="Microsoft JhengHei"/>
        <w:b w:val="0"/>
        <w:i w:val="0"/>
        <w:color w:val="46505C"/>
        <w:sz w:val="19"/>
      </w:rPr>
      <w:t>TTQS ONE 0128  |  SAMPLE / SYNTHETIC  |</w:t>
    </w:r>
    <w:r>
      <w:rPr>
        <w:rFonts w:ascii="Microsoft JhengHei" w:hAnsi="Microsoft JhengHei" w:eastAsia="Microsoft JhengHei" w:cs="Microsoft JhengHei"/>
        <w:color w:val="46505C"/>
        <w:sz w:val="19"/>
      </w:rPr>
    </w:r>
    <w:fldSimple w:instr="PAGE"/>
    <w:r>
      <w:rPr>
        <w:rFonts w:ascii="Microsoft JhengHei" w:hAnsi="Microsoft JhengHei" w:eastAsia="Microsoft JhengHei" w:cs="Microsoft JhengHei"/>
        <w:b w:val="0"/>
        <w:i w:val="0"/>
        <w:color w:val="46505C"/>
        <w:sz w:val="19"/>
      </w:rPr>
      <w:t>TTQS ONE 0128  |  SAMPLE / SYNTHETIC  |</w:t>
    </w:r>
    <w:r>
      <w:rPr>
        <w:rFonts w:ascii="Microsoft JhengHei" w:hAnsi="Microsoft JhengHei" w:eastAsia="Microsoft JhengHei" w:cs="Microsoft JhengHei"/>
        <w:color w:val="46505C"/>
        <w:sz w:val="19"/>
      </w:rPr>
    </w:r>
    <w:fldSimple w:instr="PAGE"/>
    <w:r>
      <w:rPr>
        <w:rFonts w:ascii="Microsoft JhengHei" w:hAnsi="Microsoft JhengHei" w:eastAsia="Microsoft JhengHei" w:cs="Microsoft JhengHei"/>
        <w:b w:val="0"/>
        <w:i w:val="0"/>
        <w:color w:val="46505C"/>
        <w:sz w:val="19"/>
      </w:rPr>
      <w:t>TTQS ONE 0128  |  SAMPLE / SYNTHETIC  |</w:t>
    </w:r>
    <w:r>
      <w:rPr>
        <w:rFonts w:ascii="Microsoft JhengHei" w:hAnsi="Microsoft JhengHei" w:eastAsia="Microsoft JhengHei" w:cs="Microsoft JhengHei"/>
        <w:color w:val="46505C"/>
        <w:sz w:val="19"/>
      </w:rPr>
    </w:r>
    <w:fldSimple w:instr="PAGE"/>
    <w:r>
      <w:rPr>
        <w:rFonts w:ascii="Microsoft JhengHei" w:hAnsi="Microsoft JhengHei" w:eastAsia="Microsoft JhengHei" w:cs="Microsoft JhengHei"/>
        <w:b w:val="0"/>
        <w:i w:val="0"/>
        <w:color w:val="46505C"/>
        <w:sz w:val="19"/>
      </w:rPr>
      <w:t>TTQS ONE 0128  |  SAMPLE / SYNTHETIC  |</w:t>
    </w:r>
    <w:r>
      <w:rPr>
        <w:rFonts w:ascii="Microsoft JhengHei" w:hAnsi="Microsoft JhengHei" w:eastAsia="Microsoft JhengHei" w:cs="Microsoft JhengHei"/>
        <w:color w:val="46505C"/>
        <w:sz w:val="19"/>
      </w:rPr>
    </w:r>
    <w:fldSimple w:instr="PAGE"/>
    <w:r>
      <w:rPr>
        <w:rFonts w:ascii="Microsoft JhengHei" w:hAnsi="Microsoft JhengHei" w:eastAsia="Microsoft JhengHei" w:cs="Microsoft JhengHei"/>
        <w:b w:val="0"/>
        <w:i w:val="0"/>
        <w:color w:val="46505C"/>
        <w:sz w:val="19"/>
      </w:rPr>
      <w:t>TTQS ONE 0128  |  SAMPLE / SYNTHETIC  |</w:t>
    </w:r>
    <w:r>
      <w:rPr>
        <w:rFonts w:ascii="Microsoft JhengHei" w:hAnsi="Microsoft JhengHei" w:eastAsia="Microsoft JhengHei" w:cs="Microsoft JhengHei"/>
        <w:color w:val="46505C"/>
        <w:sz w:val="19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92D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92D4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92D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2D46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個人訓後績效改善個案分析表</dc:title>
  <dc:subject>TTQS ONE 0128 I19-E17 SAMPLE/SYNTHETIC candidate</dc:subject>
  <dc:creator>TTQS ONE candidate document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