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00"/>
        <w:jc w:val="center"/>
      </w:pPr>
      <w:r>
        <w:rPr>
          <w:rFonts w:ascii="Microsoft JhengHei" w:hAnsi="Microsoft JhengHei" w:eastAsia="Microsoft JhengHei"/>
          <w:b/>
          <w:color w:val="1F384E"/>
          <w:sz w:val="50"/>
        </w:rPr>
        <w:t>目標市場與顧客價值</w:t>
        <w:br/>
        <w:t>量化效益分析表</w:t>
      </w:r>
    </w:p>
    <w:p>
      <w:pPr>
        <w:spacing w:after="100" w:line="271" w:lineRule="auto"/>
        <w:jc w:val="center"/>
      </w:pPr>
      <w:r>
        <w:rPr>
          <w:rFonts w:ascii="Microsoft JhengHei" w:hAnsi="Microsoft JhengHei" w:eastAsia="Microsoft JhengHei"/>
          <w:b/>
          <w:color w:val="2B7976"/>
          <w:sz w:val="26"/>
        </w:rPr>
        <w:t>訓練機構評核佐證候選｜完整合成資料演算示範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CEEEB"/>
          </w:tcPr>
          <w:p>
            <w:r>
              <w:rPr>
                <w:rFonts w:ascii="Microsoft JhengHei" w:hAnsi="Microsoft JhengHei" w:eastAsia="Microsoft JhengHei"/>
                <w:b/>
                <w:color w:val="A44B41"/>
                <w:sz w:val="21"/>
              </w:rPr>
              <w:t>SAMPLE / SYNTHETIC ONLY｜本檔企業、顧客、課程情境、期間、數字及結論均為合成示範，不是原始點協會或會員實績；尚未正式接受，禁止作為真實成果送審。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文件身分與用途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6984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文件ID</w:t>
            </w:r>
          </w:p>
        </w:tc>
        <w:tc>
          <w:tcPr>
            <w:tcW w:type="dxa" w:w="69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0127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官方要求</w:t>
            </w:r>
          </w:p>
        </w:tc>
        <w:tc>
          <w:tcPr>
            <w:tcW w:type="dxa" w:w="69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I19-E16；唯一Blueprint 0127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官方位置</w:t>
            </w:r>
          </w:p>
        </w:tc>
        <w:tc>
          <w:tcPr>
            <w:tcW w:type="dxa" w:w="69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查核佐證資料表第8頁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文類</w:t>
            </w:r>
          </w:p>
        </w:tc>
        <w:tc>
          <w:tcPr>
            <w:tcW w:type="dxa" w:w="69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分析／評估報告：市場與顧客價值量化分析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讀者</w:t>
            </w:r>
          </w:p>
        </w:tc>
        <w:tc>
          <w:tcPr>
            <w:tcW w:type="dxa" w:w="69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協會主管、訓練行政、資料覆核者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候選狀態</w:t>
            </w:r>
          </w:p>
        </w:tc>
        <w:tc>
          <w:tcPr>
            <w:tcW w:type="dxa" w:w="69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完整內容候選；獨立語意及全頁Word視覺驗收待完成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REAL資料</w:t>
            </w:r>
          </w:p>
        </w:tc>
        <w:tc>
          <w:tcPr>
            <w:tcW w:type="dxa" w:w="69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無協會課程、事業、顧客、交易、問卷、核准或成果原件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操作：先核來源、分母與期間，再重算表2和表4；權限未明、資料缺漏或期間不可比即標HOLD，不插補。</w:t>
      </w:r>
    </w:p>
    <w:p>
      <w:r>
        <w:br w:type="page"/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執行摘要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本報告分開量化目標市場與顧客價值。市場面看事前定義客群的去重觸及及同窗首購轉換；顧客面看配對顧客對需求效用、使用便利、相對價格／時間效益的三題評分。全部結果是SAMPLE CSV的演算，不能證明原始點協會已提升。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雙構面摘要（SAMPLE / SYNTHETIC ONLY）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65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</w:t>
            </w:r>
          </w:p>
        </w:tc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M1</w:t>
            </w:r>
          </w:p>
        </w:tc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M4</w:t>
            </w:r>
          </w:p>
        </w:tc>
        <w:tc>
          <w:tcPr>
            <w:tcW w:type="dxa" w:w="180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變化</w:t>
            </w:r>
          </w:p>
        </w:tc>
        <w:tc>
          <w:tcPr>
            <w:tcW w:type="dxa" w:w="273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可支持／不可支持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合格潛客觸及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32人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48人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+16；+50.00%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示範觸及提高；非市場規模/市占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首購轉換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8/32=25.00%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15/48=31.25%</w:t>
            </w:r>
          </w:p>
        </w:tc>
        <w:tc>
          <w:tcPr>
            <w:tcW w:type="dxa" w:w="180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+6.25pp；相對+25.00%</w:t>
            </w:r>
          </w:p>
        </w:tc>
        <w:tc>
          <w:tcPr>
            <w:tcW w:type="dxa" w:w="273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同窗首購比例；非營收/獲利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顧客價值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234/72=3.25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288/72=4.00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+0.75；相對+23.08%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主觀評分；非客觀福利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CEEEB"/>
          </w:tcPr>
          <w:p>
            <w:r>
              <w:rPr>
                <w:rFonts w:ascii="Microsoft JhengHei" w:hAnsi="Microsoft JhengHei" w:eastAsia="Microsoft JhengHei"/>
                <w:b/>
                <w:color w:val="A44B41"/>
                <w:sz w:val="21"/>
              </w:rPr>
              <w:t>合成資料兩構面均上升。協會REAL成果證據仍為UNKNOWN；沒有真實來源、比較設計與混雜因素控制，不能寫成「訓練造成提升」。</w:t>
            </w:r>
          </w:p>
        </w:tc>
      </w:tr>
    </w:tbl>
    <w:p/>
    <w:p>
      <w:pPr>
        <w:pStyle w:val="Heading2"/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6"/>
        </w:rPr>
        <w:t>30秒操作指引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用途：查看市場觸及/首購及配對顧客感知價值。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時點：僅於兩期定義、期間、資料抽取與問卷版本可比時比較。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操作：核來源、分母、N，再計算；缺件即HOLD。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輸出：記差異、限制、建議角色和KPI；姓名/期限由協會核定。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界線：全為SAMPLE/SYNTHETIC，無REAL原件或正式核准。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1. 官方要求與範圍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官方佐證資料表第8頁 I19-E16 原文：「有量化之效益可呈現目標市場及顧客價值均有一定程度提升的效果。」兩構面均需獨立呈現；不得以一項代另一項，也不得擴大為市場總規模、市占、薪資或個人工作績效。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納入與排除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60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本件納入</w:t>
            </w:r>
          </w:p>
        </w:tc>
        <w:tc>
          <w:tcPr>
            <w:tcW w:type="dxa" w:w="460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排除/不得替代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合格潛客觸及、首購率、三題配對顧客評價、公式與限制。</w:t>
            </w:r>
          </w:p>
        </w:tc>
        <w:tc>
          <w:tcPr>
            <w:tcW w:type="dxa" w:w="460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0126/I19-E14訓後薪資；本件無個人薪資。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M1/M4固定30日示範窗、資料品質、REAL替換。</w:t>
            </w:r>
          </w:p>
        </w:tc>
        <w:tc>
          <w:tcPr>
            <w:tcW w:type="dxa" w:w="460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0128/I19-E17個人訓後績效；不得以市場數字替代。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決策建議、覆核與退件門檻。</w:t>
            </w:r>
          </w:p>
        </w:tc>
        <w:tc>
          <w:tcPr>
            <w:tcW w:type="dxa" w:w="460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歷史0127正文；禁止當模板。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2. 指標定義與資料品質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合成課程情境為「數位顧客經營與目標市場拓展示範工作坊」，不表示原始點協會或會員曾開課。市場CSV含8個虛構事業；顧客CSV含24個虛構配對ID、每案3人。M1/M4是固定30日代碼窗，非真實日期。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表1　指標字典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44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定義/公式</w:t>
            </w:r>
          </w:p>
        </w:tc>
        <w:tc>
          <w:tcPr>
            <w:tcW w:type="dxa" w:w="1584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分母/單位</w:t>
            </w:r>
          </w:p>
        </w:tc>
        <w:tc>
          <w:tcPr>
            <w:tcW w:type="dxa" w:w="201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資料/缺漏</w:t>
            </w:r>
          </w:p>
        </w:tc>
        <w:tc>
          <w:tcPr>
            <w:tcW w:type="dxa" w:w="172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合格觸及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符合事前條件、去重且有接觸紀錄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人；按窗分開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REAL需名冊及日誌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非總市場/市占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觸及變化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(M4−M1)/M1×100%</w:t>
            </w:r>
          </w:p>
        </w:tc>
        <w:tc>
          <w:tcPr>
            <w:tcW w:type="dxa" w:w="15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M1觸及</w:t>
            </w:r>
          </w:p>
        </w:tc>
        <w:tc>
          <w:tcPr>
            <w:tcW w:type="dxa" w:w="20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M1=0時不定義</w:t>
            </w:r>
          </w:p>
        </w:tc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受季節/宣傳影響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首購率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同窗首購/同窗合格潛客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潛客；%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交易日期須可追溯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非營收/利潤/續購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轉換差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M4率−M1率</w:t>
            </w:r>
          </w:p>
        </w:tc>
        <w:tc>
          <w:tcPr>
            <w:tcW w:type="dxa" w:w="15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百分點</w:t>
            </w:r>
          </w:p>
        </w:tc>
        <w:tc>
          <w:tcPr>
            <w:tcW w:type="dxa" w:w="20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各期先除分母</w:t>
            </w:r>
          </w:p>
        </w:tc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不可混稱相對百分比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顧客價值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三題1–5分逐題均分及複合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有效題N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空白不計0、不插補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主觀感知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複合均分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三題總分/有效題數</w:t>
            </w:r>
          </w:p>
        </w:tc>
        <w:tc>
          <w:tcPr>
            <w:tcW w:type="dxa" w:w="15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每期最多72題</w:t>
            </w:r>
          </w:p>
        </w:tc>
        <w:tc>
          <w:tcPr>
            <w:tcW w:type="dxa" w:w="20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核配對與量尺版本</w:t>
            </w:r>
          </w:p>
        </w:tc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不是因果效果</w:t>
            </w:r>
          </w:p>
        </w:tc>
      </w:tr>
    </w:tbl>
    <w:p/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8案合計：M1潛客32、M4 48、首購8與15；逐案首購均≤同窗潛客。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24個不重複合成顧客ID，每案3人；六個分數欄均在1–5，資料集無缺值。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每期24×3=72題，總分234及288；完整值只屬資料集構造，不是REAL回覆率。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REAL最低完整配對門檻須預先核定；來源未授權門檻數值，本報告不自行設值。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3. 目標市場結果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逐案加總後以總分子除總分母。總體轉換率不是各案率的簡單平均；觸及數不是市場總規模。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320862"/>
            <wp:docPr id="1" name="Picture 1" descr="M1/M4觸及32/48人，首購率25/31.25%，分開尺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market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2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1" w:lineRule="auto"/>
        <w:jc w:val="center"/>
      </w:pPr>
      <w:r>
        <w:rPr>
          <w:rFonts w:ascii="Microsoft JhengHei" w:hAnsi="Microsoft JhengHei" w:eastAsia="Microsoft JhengHei"/>
          <w:b w:val="0"/>
          <w:color w:val="52616D"/>
          <w:sz w:val="21"/>
        </w:rPr>
        <w:t>圖1　市場觸及人數與首購轉換率分圖呈現；兩者單位不同。SAMPLE/SYNTHETIC。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表2　8案市場明細（潛客 / 首購 / 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16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合成案例/鍵</w:t>
            </w:r>
          </w:p>
        </w:tc>
        <w:tc>
          <w:tcPr>
            <w:tcW w:type="dxa" w:w="2304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合成類別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M1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M4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S-O01 / RR-ORG-01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地方生活服務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 / 1 (33.3%)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 / 2 (40.0%)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S-O02 / RR-ORG-02</w:t>
            </w:r>
          </w:p>
        </w:tc>
        <w:tc>
          <w:tcPr>
            <w:tcW w:type="dxa" w:w="230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小型食品製作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 / 1 (25.0%)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6 / 2 (33.3%)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S-O03 / RR-ORG-03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社區課程服務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 / 0 (0.0%)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 / 1 (25.0%)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S-O04 / RR-ORG-04</w:t>
            </w:r>
          </w:p>
        </w:tc>
        <w:tc>
          <w:tcPr>
            <w:tcW w:type="dxa" w:w="230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手作零售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 / 1 (20.0%)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7 / 2 (28.6%)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S-O05 / RR-ORG-05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健康促進服務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 / 1 (33.3%)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6 / 2 (33.3%)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S-O06 / RR-ORG-06</w:t>
            </w:r>
          </w:p>
        </w:tc>
        <w:tc>
          <w:tcPr>
            <w:tcW w:type="dxa" w:w="230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居家修繕服務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 / 1 (25.0%)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6 / 2 (33.3%)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S-O07 / RR-ORG-07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在地旅宿服務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6 / 2 (33.3%)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8 / 2 (25.0%)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S-O08 / RR-ORG-08</w:t>
            </w:r>
          </w:p>
        </w:tc>
        <w:tc>
          <w:tcPr>
            <w:tcW w:type="dxa" w:w="230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社區照顧服務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 / 1 (20.0%)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6 / 2 (33.3%)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表2A　總體重算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172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16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2664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M1觸及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3+4+2+5+3+4+6+5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32人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8案加總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M4觸及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5+6+4+7+6+6+8+6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48人</w:t>
            </w:r>
          </w:p>
        </w:tc>
        <w:tc>
          <w:tcPr>
            <w:tcW w:type="dxa" w:w="26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8案加總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觸及變化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(48−32)/32×100%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50.00%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+16人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M1首購率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8/32×100%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25.00%</w:t>
            </w:r>
          </w:p>
        </w:tc>
        <w:tc>
          <w:tcPr>
            <w:tcW w:type="dxa" w:w="26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總體加權率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M4首購率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15/48×100%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31.25%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總體加權率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百分點差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31.25−25.00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+6.25pp</w:t>
            </w:r>
          </w:p>
        </w:tc>
        <w:tc>
          <w:tcPr>
            <w:tcW w:type="dxa" w:w="26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非相對%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相對率變化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6.25/25×100%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+25.00%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只作合成描述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S-O07個案轉換率由33.33%降至25.00%；其餘合成案例持平或提高。總體上升不能掩蓋個別下滑。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4. 顧客價值問卷與分析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Q1需求效用：「此產品／服務有助於解決我原有需求。」Q2便利：「取得／使用此產品／服務的流程便利。」Q3相對效益：「相較付出的價格或時間，我感受到的效益值得。」量尺1=非常不同意/效益極低，5=非常同意/效益很高；空白不得記0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表3　逐題及複合均分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16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</w:t>
            </w:r>
          </w:p>
        </w:tc>
        <w:tc>
          <w:tcPr>
            <w:tcW w:type="dxa" w:w="295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M1總分/N/均分</w:t>
            </w:r>
          </w:p>
        </w:tc>
        <w:tc>
          <w:tcPr>
            <w:tcW w:type="dxa" w:w="295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M4總分/N/均分</w:t>
            </w:r>
          </w:p>
        </w:tc>
        <w:tc>
          <w:tcPr>
            <w:tcW w:type="dxa" w:w="144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Q1 需求效用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66/24/2.75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90/24/3.75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+1.00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Q2 便利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78/24/3.25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96/24/4.00</w:t>
            </w:r>
          </w:p>
        </w:tc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+0.75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Q3 相對效益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90/24/3.75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102/24/4.25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+0.50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三題複合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234/72/3.25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288/72/4.00</w:t>
            </w:r>
          </w:p>
        </w:tc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+0.75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320862"/>
            <wp:docPr id="2" name="Picture 2" descr="M1/M4需求效用、便利、相對效益與複合均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customer_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2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1" w:lineRule="auto"/>
        <w:jc w:val="center"/>
      </w:pPr>
      <w:r>
        <w:rPr>
          <w:rFonts w:ascii="Microsoft JhengHei" w:hAnsi="Microsoft JhengHei" w:eastAsia="Microsoft JhengHei"/>
          <w:b w:val="0"/>
          <w:color w:val="52616D"/>
          <w:sz w:val="21"/>
        </w:rPr>
        <w:t>圖2　三個分題與複合均分；縱軸1–5分，全部SAMPLE/SYNTHETIC。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表3A　複合均分重算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08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M1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M4</w:t>
            </w:r>
          </w:p>
        </w:tc>
        <w:tc>
          <w:tcPr>
            <w:tcW w:type="dxa" w:w="252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配對×題數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24×3=72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24×3=72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同一合成配對組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總分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234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288</w:t>
            </w:r>
          </w:p>
        </w:tc>
        <w:tc>
          <w:tcPr>
            <w:tcW w:type="dxa" w:w="25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+54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均分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234/72=3.25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288/72=4.00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+0.75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相對變化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—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—</w:t>
            </w:r>
          </w:p>
        </w:tc>
        <w:tc>
          <w:tcPr>
            <w:tcW w:type="dxa" w:w="25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0.75/3.25=23.08%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5. 雙構面結論與限制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表4　可支持的範圍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</w:t>
            </w:r>
          </w:p>
        </w:tc>
        <w:tc>
          <w:tcPr>
            <w:tcW w:type="dxa" w:w="208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合成觀察</w:t>
            </w:r>
          </w:p>
        </w:tc>
        <w:tc>
          <w:tcPr>
            <w:tcW w:type="dxa" w:w="252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支持範圍</w:t>
            </w:r>
          </w:p>
        </w:tc>
        <w:tc>
          <w:tcPr>
            <w:tcW w:type="dxa" w:w="295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不可主張/待補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市場觸及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32→48；+50%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合成觸及提高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非市場規模/市占；REAL要名冊/接觸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首購</w:t>
            </w:r>
          </w:p>
        </w:tc>
        <w:tc>
          <w:tcPr>
            <w:tcW w:type="dxa" w:w="208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25→31.25%；+6.25pp</w:t>
            </w:r>
          </w:p>
        </w:tc>
        <w:tc>
          <w:tcPr>
            <w:tcW w:type="dxa" w:w="25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同窗合成比例提高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非利潤/因果；REAL要交易和分母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顧客價值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3.25→4.00；+0.75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主觀評分提高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非客觀福利；REAL要問卷/同意/N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協會成果</w:t>
            </w:r>
          </w:p>
        </w:tc>
        <w:tc>
          <w:tcPr>
            <w:tcW w:type="dxa" w:w="208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無REAL原件</w:t>
            </w:r>
          </w:p>
        </w:tc>
        <w:tc>
          <w:tcPr>
            <w:tcW w:type="dxa" w:w="25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只示範計算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協會已改善或訓練造成=UNKNOWN</w:t>
            </w:r>
          </w:p>
        </w:tc>
      </w:tr>
    </w:tbl>
    <w:p/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所有數據均SYNTHETIC；協會實績證據UNKNOWN。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價格、季節、宣傳、通路、選樣及資料記錄變化可能影響兩期差異；無比較組或混雜因子控制。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只能說合成資料兩期不同，不可主張訓練因果、協會成效、市占或財務收益。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REAL若任一構面、分母、期間或合法來源缺失，整體HOLD，不以另一構面補足。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6. 品質、缺漏及未回覆控制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表5　檢核與異常處置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</w:t>
            </w:r>
          </w:p>
        </w:tc>
        <w:tc>
          <w:tcPr>
            <w:tcW w:type="dxa" w:w="432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367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不符處置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客群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事前資格、排除與去重規則一致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HOLD，重建範圍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分子/分母</w:t>
            </w:r>
          </w:p>
        </w:tc>
        <w:tc>
          <w:tcPr>
            <w:tcW w:type="dxa" w:w="43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同窗首購可追溯且≤潛客</w:t>
            </w:r>
          </w:p>
        </w:tc>
        <w:tc>
          <w:tcPr>
            <w:tcW w:type="dxa" w:w="36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未解前不發布率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問卷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同版題目/量尺；逐題報N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空白NA、不插補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配對</w:t>
            </w:r>
          </w:p>
        </w:tc>
        <w:tc>
          <w:tcPr>
            <w:tcW w:type="dxa" w:w="43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受控去識別ID；門檻預先核定</w:t>
            </w:r>
          </w:p>
        </w:tc>
        <w:tc>
          <w:tcPr>
            <w:tcW w:type="dxa" w:w="36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配對不足即HOLD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期間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起訖日及定義可比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不可比不下趨勢結論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未回覆</w:t>
            </w:r>
          </w:p>
        </w:tc>
        <w:tc>
          <w:tcPr>
            <w:tcW w:type="dxa" w:w="43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有邀請母數、回覆N與處置</w:t>
            </w:r>
          </w:p>
        </w:tc>
        <w:tc>
          <w:tcPr>
            <w:tcW w:type="dxa" w:w="36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母數缺則回覆率UNKNOWN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權限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合法同意、存取與最小化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權限不明即停個資連結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REAL公開版只保留必要彙總。沒有合法同意或資料權限時，不連結個人層級資料；使用經核准匿名彙總或維持HOLD。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7. 建議行動（尚未核定/執行）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表6　主管可採取的下一步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316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操作/KPI</w:t>
            </w:r>
          </w:p>
        </w:tc>
        <w:tc>
          <w:tcPr>
            <w:tcW w:type="dxa" w:w="187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44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244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停止條件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固定客群/視窗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記資格、30日窗、唯一鍵；定義一致率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市場資料承辦(待指派)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核定後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缺母數停比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核驗首購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接觸ID、交易日抽查；首購≤潛客</w:t>
            </w:r>
          </w:p>
        </w:tc>
        <w:tc>
          <w:tcPr>
            <w:tcW w:type="dxa" w:w="18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資料管理(待指派)</w:t>
            </w:r>
          </w:p>
        </w:tc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核定後</w:t>
            </w:r>
          </w:p>
        </w:tc>
        <w:tc>
          <w:tcPr>
            <w:tcW w:type="dxa" w:w="24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來源不符HOLD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配對調查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核題目、量尺、邀請母數、配對門檻、同意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調查/隱私角色(待指派)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發放前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逐題N/配對不足暫緩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查異質性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逐案檢視下滑與替代原因</w:t>
            </w:r>
          </w:p>
        </w:tc>
        <w:tc>
          <w:tcPr>
            <w:tcW w:type="dxa" w:w="18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分析覆核(待指派)</w:t>
            </w:r>
          </w:p>
        </w:tc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分析後</w:t>
            </w:r>
          </w:p>
        </w:tc>
        <w:tc>
          <w:tcPr>
            <w:tcW w:type="dxa" w:w="24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無來源不推定因果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送出前覆核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核原件、公式、清冊、個資、版本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主管/權責者(待指派)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送出前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原件未齊維持SAMPLE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8. REAL替換與退件門檻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取得協會指定之資料權責者、真實課程/班次、核定範圍與日期。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先凍結客群、首購、問卷版本/量尺、配對門檻、缺漏規則。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依法取用最小必要去識別市場接觸/交易及問卷，保存同意和邀請/回覆母數。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另一位授權覆核者抽查分子、分母、去重、配對和結論定位。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逐鍵更新附錄清冊；原件、權限或矛盾未解，保留SAMPLE/UNKNOWN。</w:t>
      </w:r>
    </w:p>
    <w:p>
      <w:pPr>
        <w:spacing w:after="100" w:line="271" w:lineRule="auto"/>
        <w:keepNext w:val="true"/>
      </w:pPr>
      <w:r>
        <w:rPr>
          <w:rFonts w:ascii="Microsoft JhengHei" w:hAnsi="Microsoft JhengHei" w:eastAsia="Microsoft JhengHei"/>
          <w:b/>
          <w:color w:val="2B7976"/>
          <w:sz w:val="21"/>
        </w:rPr>
        <w:t>表7　REJECT / HOLD判定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440"/>
            <w:shd w:fill="1F384E"/>
          </w:tcPr>
          <w:p>
            <w:pPr>
              <w:spacing w:after="0"/>
              <w:jc w:val="center"/>
              <w:keepNext w:val="true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3816"/>
            <w:shd w:fill="1F384E"/>
          </w:tcPr>
          <w:p>
            <w:pPr>
              <w:spacing w:after="0"/>
              <w:jc w:val="center"/>
              <w:keepNext w:val="true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</w:t>
            </w:r>
          </w:p>
        </w:tc>
        <w:tc>
          <w:tcPr>
            <w:tcW w:type="dxa" w:w="4248"/>
            <w:shd w:fill="1F384E"/>
          </w:tcPr>
          <w:p>
            <w:pPr>
              <w:spacing w:after="0"/>
              <w:jc w:val="center"/>
              <w:keepNext w:val="true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處置/解除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REJECT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缺一構面；錯公式/分母；不可重算；合成冒稱REAL；誇大因果/市占/財務</w:t>
            </w:r>
          </w:p>
        </w:tc>
        <w:tc>
          <w:tcPr>
            <w:tcW w:type="dxa" w:w="42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停用錯誤結論，修正來源與計算後重審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HOLD</w:t>
            </w:r>
          </w:p>
        </w:tc>
        <w:tc>
          <w:tcPr>
            <w:tcW w:type="dxa" w:w="38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權限、原件、期間、客群、回覆母數、配對門檻或覆核未齊</w:t>
            </w:r>
          </w:p>
        </w:tc>
        <w:tc>
          <w:tcPr>
            <w:tcW w:type="dxa" w:w="42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列缺件/責任/解除條件；原件到位重算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SAMPLE ONLY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只有合成資料</w:t>
            </w:r>
          </w:p>
        </w:tc>
        <w:tc>
          <w:tcPr>
            <w:tcW w:type="dxa" w:w="42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只示範，不升REAL或正式接受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候選QA條件</w:t>
            </w:r>
          </w:p>
        </w:tc>
        <w:tc>
          <w:tcPr>
            <w:tcW w:type="dxa" w:w="38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映射、兩構面、重算、清冊、逐頁視覺及獨立語意皆完成</w:t>
            </w:r>
          </w:p>
        </w:tc>
        <w:tc>
          <w:tcPr>
            <w:tcW w:type="dxa" w:w="42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只綁定exact SHA；QA不等於正式接受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9. 官方追溯與相鄰要求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表8　需求—正文定位—目前證據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37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官方需求/檢核</w:t>
            </w:r>
          </w:p>
        </w:tc>
        <w:tc>
          <w:tcPr>
            <w:tcW w:type="dxa" w:w="237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正文位置</w:t>
            </w:r>
          </w:p>
        </w:tc>
        <w:tc>
          <w:tcPr>
            <w:tcW w:type="dxa" w:w="288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支持程度</w:t>
            </w:r>
          </w:p>
        </w:tc>
        <w:tc>
          <w:tcPr>
            <w:tcW w:type="dxa" w:w="237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REAL缺件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I19-E16第8頁原文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本節、表2/3/4/7、圖1/2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完整合成示範；協會成果UNKNOWN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客群、交易、問卷、覆核原件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市場量化</w:t>
            </w:r>
          </w:p>
        </w:tc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第3節/表2/2A/圖1</w:t>
            </w:r>
          </w:p>
        </w:tc>
        <w:tc>
          <w:tcPr>
            <w:tcW w:type="dxa" w:w="288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8案可重算，非市占</w:t>
            </w:r>
          </w:p>
        </w:tc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名冊、定義、接觸及交易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顧客量化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第4節/表3/圖2/附錄A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24配對×3題合成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核定問卷、同意、母數、有效N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限制/決策</w:t>
            </w:r>
          </w:p>
        </w:tc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第5–8節</w:t>
            </w:r>
          </w:p>
        </w:tc>
        <w:tc>
          <w:tcPr>
            <w:tcW w:type="dxa" w:w="288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限制、行動、拒收條件具體</w:t>
            </w:r>
          </w:p>
        </w:tc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真實期間、決議與追蹤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鄰件排除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244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88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專屬焦點</w:t>
            </w:r>
          </w:p>
        </w:tc>
        <w:tc>
          <w:tcPr>
            <w:tcW w:type="dxa" w:w="475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本件不含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0126/I19-E14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訓後薪資變化</w:t>
            </w:r>
          </w:p>
        </w:tc>
        <w:tc>
          <w:tcPr>
            <w:tcW w:type="dxa" w:w="47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個人薪資與薪酬時序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0128/I19-E17</w:t>
            </w:r>
          </w:p>
        </w:tc>
        <w:tc>
          <w:tcPr>
            <w:tcW w:type="dxa" w:w="288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個人訓後績效</w:t>
            </w:r>
          </w:p>
        </w:tc>
        <w:tc>
          <w:tcPr>
            <w:tcW w:type="dxa" w:w="47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職務、個人目標與主管評分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10. 來源與版本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來源清冊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216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540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SHA/定位</w:t>
            </w:r>
          </w:p>
        </w:tc>
        <w:tc>
          <w:tcPr>
            <w:tcW w:type="dxa" w:w="259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使用界線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官方查核佐證PDF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I19-E16官方原文；第8頁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官方原文，非REAL成果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唯一 Blueprint</w:t>
            </w:r>
          </w:p>
        </w:tc>
        <w:tc>
          <w:tcPr>
            <w:tcW w:type="dxa" w:w="540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I19-E16唯一列；doc_id 0127</w:t>
            </w:r>
          </w:p>
        </w:tc>
        <w:tc>
          <w:tcPr>
            <w:tcW w:type="dxa" w:w="259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需求拆解；歷史正文禁止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142-ID crosswalk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I19-E16 → 0127；唯一交叉列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I19-E16→0127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R01來源包/Blueprint/CSV</w:t>
            </w:r>
          </w:p>
        </w:tc>
        <w:tc>
          <w:tcPr>
            <w:tcW w:type="dxa" w:w="540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各檔 SHA 見本地技術收據</w:t>
            </w:r>
          </w:p>
        </w:tc>
        <w:tc>
          <w:tcPr>
            <w:tcW w:type="dxa" w:w="259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CSV全為SAMPLE，無REAL原件</w:t>
            </w:r>
          </w:p>
        </w:tc>
      </w:tr>
    </w:tbl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正式核准、簽章、送審及最終接受均未發生。建置收據不等於獨立驗收；所有QA須綁定最終SHA。</w:t>
      </w:r>
    </w:p>
    <w:p>
      <w:pPr>
        <w:sectPr>
          <w:headerReference w:type="default" r:id="rId9"/>
          <w:footerReference w:type="default" r:id="rId10"/>
          <w:pgSz w:w="11909" w:h="16834"/>
          <w:pgMar w:top="936" w:right="979" w:bottom="893" w:left="979" w:header="720" w:footer="720" w:gutter="0"/>
          <w:cols w:space="720"/>
          <w:docGrid w:linePitch="360"/>
        </w:sectPr>
      </w:pP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附錄A　24組顧客配對原始資料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每列保留兩期三題原始值；單人均分=(Q1+Q2+Q3)/3，差=B−A。全部SYNTHETIC。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附錄表A1　24列配對問卷（SAMPLE / SYNTHETIC ONLY）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顧客ID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事業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A-Q1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A-Q2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A-Q3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A均分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B-Q1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B-Q2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B-Q3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B均分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鍵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RR-CUST-01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S-O01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RR-CUST-02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RR-CUST-03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RR-CUST-04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RR-CUST-05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S-C06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RR-CUST-06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RR-CUST-07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S-C08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RR-CUST-08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S-C09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RR-CUST-09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RR-CUST-10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RR-CUST-11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RR-CUST-12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RR-CUST-13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RR-CUST-14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RR-CUST-15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S-C16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S-O06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RR-CUST-16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S-O06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RR-CUST-17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S-C18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S-O06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RR-CUST-18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S-C19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RR-CUST-19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RR-CUST-20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RR-CUST-21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S-O08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RR-CUST-22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S-O08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RR-CUST-23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S-O08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RR-CUST-24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合計M1=234/72=3.25，M4=288/72=4.00；分題均分變化Q1 +1.00、Q2 +0.75、Q3 +0.50。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附錄B　逐項合成替換清冊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附錄表B1　原始列與衍生事實替換鍵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</w:trPr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鍵</w:t>
            </w:r>
          </w:p>
        </w:tc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目前SAMPLE值</w:t>
            </w:r>
          </w:p>
        </w:tc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REAL原件/控制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S-O01；地方生活服務；M1 3/1；M4 5/2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S-O02；小型食品製作；M1 4/1；M4 6/2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S-O03；社區課程服務；M1 2/0；M4 4/1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S-O04；手作零售；M1 5/1；M4 7/2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S-O05；健康促進服務；M1 3/1；M4 6/2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RR-ORG-06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S-O06；居家修繕服務；M1 4/1；M4 6/2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RR-ORG-07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S-O07；在地旅宿服務；M1 6/2；M4 8/2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RR-ORG-08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S-O08；社區照顧服務；M1 5/1；M4 6/2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S-C01/S-O01；A 2,3,3；B 3,3,4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S-C02/S-O01；A 2,3,3；B 3,3,4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S-C03/S-O01；A 2,3,3；B 3,3,4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S-C04/S-O02；A 2,3,3；B 3,3,4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S-C05/S-O02；A 2,3,3；B 3,3,4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RR-CUST-06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S-C06/S-O02；A 2,3,3；B 3,3,4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RR-CUST-07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S-C07/S-O03；A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RR-CUST-08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S-C08/S-O03；A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RR-CUST-09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S-C09/S-O03；A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RR-CUST-10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S-C10/S-O04；A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S-C11/S-O04；A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S-C12/S-O04；A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S-C13/S-O05；A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S-C14/S-O05；A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S-C15/S-O05；A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RR-CUST-16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S-C16/S-O06；A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RR-CUST-17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S-C17/S-O06；A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RR-CUST-18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S-C18/S-O06；A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RR-CUST-19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S-C19/S-O07；A 3,4,4；B 4,5,5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RR-CUST-20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S-C20/S-O07；A 3,4,4；B 4,5,5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S-C21/S-O07；A 3,4,4；B 4,5,5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S-C22/S-O08；A 3,4,4；B 4,5,5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S-C23/S-O08；A 3,4,4；B 4,5,5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S-C24/S-O08；A 3,4,4；B 4,5,5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RR-COURSE-01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虛構課程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數位顧客經營與目標市場拓展示範工作坊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封面/範圍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真實課程、班次、核定日期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RR-WINDOW-01/02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虛構期間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M1/M4固定30日代碼，無真實日期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表2–4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真實起訖日、時區、可比證據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RR-ITEM-Q1/Q2/Q3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合成題目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需求效用、便利、價格/時間效益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第4節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核定問卷版本及發放原件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RR-SCALE-01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合成量尺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1–5；空白非0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第4節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核定量尺和缺漏規則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RR-FORMULA-01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合成公式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觸及變化、首購率、百分點差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表1/2A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資料欄位、去重、首購定義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RR-FORMULA-02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合成公式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逐題與複合均分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表3/附錄A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原問卷、有效N、配對規則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RR-RESULT-01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衍生市場結果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32→48；25→31.25%；+6.25pp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摘要/表2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REAL名冊與交易重算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RR-RESULT-02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衍生顧客結果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234→288；3.25→4.00；+0.75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摘要/表3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REAL逐題、N、配對覆核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RR-INTERPRETATION-01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衍生解讀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非因果/非市占/非協會實績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摘要/第5節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REAL設計及替代因素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RR-ACTION-01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建議行動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角色/期限待指定、尚未執行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表6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協會決議、承辦與追蹤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RR-FIGURE-01/02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合成圖表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所有數值、長條與標籤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圖1/2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REAL核准資料重繪</w:t>
            </w:r>
          </w:p>
        </w:tc>
      </w:tr>
    </w:tbl>
    <w:p/>
    <w:sectPr w:rsidR="00FC693F" w:rsidRPr="0006063C" w:rsidSect="00034616">
      <w:pgSz w:w="16834" w:h="11909" w:orient="landscape"/>
      <w:pgMar w:top="691" w:right="749" w:bottom="691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/>
        <w:color w:val="A44B41"/>
        <w:sz w:val="16"/>
      </w:rPr>
      <w:t xml:space="preserve">SAMPLE / SYNTHETIC ONLY｜非協會實績｜第 </w:t>
    </w:r>
    <w:r>
      <w:rPr>
        <w:rFonts w:ascii="Microsoft JhengHei" w:hAnsi="Microsoft JhengHei" w:eastAsia="Microsoft JhengHei"/>
        <w:b w:val="0"/>
        <w:color w:val="52616D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2D3741"/>
        <w:sz w:val="16"/>
      </w:rPr>
      <w:t xml:space="preserve"> 頁 / 共 </w:t>
    </w:r>
    <w:r>
      <w:rPr>
        <w:rFonts w:ascii="Microsoft JhengHei" w:hAnsi="Microsoft JhengHei" w:eastAsia="Microsoft JhengHei"/>
        <w:b w:val="0"/>
        <w:color w:val="52616D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2D3741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52616D"/>
        <w:sz w:val="16"/>
      </w:rPr>
      <w:t>原始點協會｜候選示範　0127 / I19-E16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D37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8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B79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84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目標市場與顧客價值量化效益分析表</dc:title>
  <dc:subject>0127/I19-E16；SAMPLE/SYNTHETIC候選；未正式接受</dc:subject>
  <dc:creator>TTQS ONE候選施工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