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Services Agreement</w:t>
      </w:r>
    </w:p>
    <w:p>
      <w:r>
        <w:t>This agreement governs the terms of service.</w:t>
      </w:r>
    </w:p>
    <w:p>
      <w:r>
        <w:t xml:space="preserve">Section 1. Change of Control. </w:t>
      </w:r>
      <w:r>
        <w:rPr>
          <w:b/>
        </w:rPr>
        <w:t>In the event the company is acquired, all active obligations are immediately null and void, and a $5,000,000 penalty shall be assessed.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