
<file path=[Content_Types].xml><?xml version="1.0" encoding="utf-8"?>
<Types xmlns="http://schemas.openxmlformats.org/package/2006/content-types">
  <Default ContentType="application/vnd.openxmlformats-officedocument.spreadsheetml.sheet" Extension="xlsx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ms-office.chartcolorstyle+xml" PartName="/word/charts/colors1.xml"/>
  <Override ContentType="application/vnd.openxmlformats-officedocument.drawingml.chart+xml" PartName="/word/charts/chart1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/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-20001</wp:posOffset>
                </wp:positionH>
                <wp:positionV relativeFrom="page">
                  <wp:align>bottom</wp:align>
                </wp:positionV>
                <wp:extent cx="7570470" cy="10688320"/>
                <wp:effectExtent b="0" l="0" r="0" t="0"/>
                <wp:wrapNone/>
                <wp:docPr id="16056944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65528" y="0"/>
                          <a:ext cx="7560945" cy="7560000"/>
                        </a:xfrm>
                        <a:custGeom>
                          <a:rect b="b" l="l" r="r" t="t"/>
                          <a:pathLst>
                            <a:path extrusionOk="0" h="10678795" w="7560945">
                              <a:moveTo>
                                <a:pt x="0" y="10678790"/>
                              </a:moveTo>
                              <a:lnTo>
                                <a:pt x="7560563" y="10678790"/>
                              </a:lnTo>
                              <a:lnTo>
                                <a:pt x="7560563" y="0"/>
                              </a:lnTo>
                              <a:lnTo>
                                <a:pt x="0" y="0"/>
                              </a:lnTo>
                              <a:lnTo>
                                <a:pt x="0" y="106787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-20001</wp:posOffset>
                </wp:positionH>
                <wp:positionV relativeFrom="page">
                  <wp:align>bottom</wp:align>
                </wp:positionV>
                <wp:extent cx="7570470" cy="10688320"/>
                <wp:effectExtent b="0" l="0" r="0" t="0"/>
                <wp:wrapNone/>
                <wp:docPr id="16056944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0470" cy="10688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ind w:left="720" w:firstLine="720"/>
        <w:rPr>
          <w:b w:val="1"/>
          <w:sz w:val="110"/>
          <w:szCs w:val="110"/>
        </w:rPr>
      </w:pPr>
      <w:r w:rsidDel="00000000" w:rsidR="00000000" w:rsidRPr="00000000">
        <w:rPr>
          <w:b w:val="1"/>
          <w:sz w:val="110"/>
          <w:szCs w:val="110"/>
          <w:rtl w:val="1"/>
        </w:rPr>
        <w:t xml:space="preserve">סקר</w:t>
      </w:r>
      <w:r w:rsidDel="00000000" w:rsidR="00000000" w:rsidRPr="00000000">
        <w:rPr>
          <w:b w:val="1"/>
          <w:sz w:val="110"/>
          <w:szCs w:val="110"/>
          <w:rtl w:val="1"/>
        </w:rPr>
        <w:t xml:space="preserve"> </w:t>
      </w:r>
      <w:r w:rsidDel="00000000" w:rsidR="00000000" w:rsidRPr="00000000">
        <w:rPr>
          <w:b w:val="1"/>
          <w:sz w:val="110"/>
          <w:szCs w:val="110"/>
          <w:rtl w:val="1"/>
        </w:rPr>
        <w:t xml:space="preserve">אבטחת</w:t>
      </w:r>
    </w:p>
    <w:p w:rsidR="00000000" w:rsidDel="00000000" w:rsidP="00000000" w:rsidRDefault="00000000" w:rsidRPr="00000000" w14:paraId="00000008">
      <w:pPr>
        <w:bidi w:val="1"/>
        <w:ind w:left="2160" w:firstLine="720"/>
        <w:rPr>
          <w:b w:val="1"/>
          <w:sz w:val="110"/>
          <w:szCs w:val="110"/>
        </w:rPr>
      </w:pPr>
      <w:r w:rsidDel="00000000" w:rsidR="00000000" w:rsidRPr="00000000">
        <w:rPr>
          <w:b w:val="1"/>
          <w:sz w:val="110"/>
          <w:szCs w:val="110"/>
          <w:rtl w:val="1"/>
        </w:rPr>
        <w:t xml:space="preserve">מידע</w:t>
      </w:r>
    </w:p>
    <w:p w:rsidR="00000000" w:rsidDel="00000000" w:rsidP="00000000" w:rsidRDefault="00000000" w:rsidRPr="00000000" w14:paraId="00000009">
      <w:pPr>
        <w:bidi w:val="1"/>
        <w:ind w:left="2160" w:firstLine="0"/>
        <w:rPr>
          <w:color w:val="ffffff"/>
          <w:sz w:val="110"/>
          <w:szCs w:val="110"/>
        </w:rPr>
      </w:pPr>
      <w:r w:rsidDel="00000000" w:rsidR="00000000" w:rsidRPr="00000000">
        <w:rPr>
          <w:b w:val="1"/>
          <w:sz w:val="110"/>
          <w:szCs w:val="110"/>
          <w:rtl w:val="1"/>
        </w:rPr>
        <w:t xml:space="preserve">מערכת</w:t>
      </w:r>
      <w:r w:rsidDel="00000000" w:rsidR="00000000" w:rsidRPr="00000000">
        <w:rPr>
          <w:b w:val="1"/>
          <w:sz w:val="110"/>
          <w:szCs w:val="110"/>
          <w:rtl w:val="1"/>
        </w:rPr>
        <w:t xml:space="preserve">  </w:t>
      </w:r>
      <w:r w:rsidDel="00000000" w:rsidR="00000000" w:rsidRPr="00000000">
        <w:rPr>
          <w:b w:val="1"/>
          <w:sz w:val="110"/>
          <w:szCs w:val="110"/>
          <w:rtl w:val="0"/>
        </w:rPr>
        <w:t xml:space="preserve">Bookstack</w:t>
      </w:r>
      <w:r w:rsidDel="00000000" w:rsidR="00000000" w:rsidRPr="00000000">
        <w:rPr>
          <w:b w:val="1"/>
          <w:sz w:val="110"/>
          <w:szCs w:val="110"/>
          <w:rtl w:val="0"/>
        </w:rPr>
        <w:t xml:space="preserve"> </w:t>
        <w:tab/>
        <w:t xml:space="preserve">   </w:t>
        <w:tab/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firstLine="720"/>
        <w:rPr>
          <w:color w:val="ffffff"/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4706"/>
        </w:tabs>
        <w:bidi w:val="1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1"/>
        </w:rPr>
        <w:t xml:space="preserve">פברואר</w:t>
      </w:r>
      <w:r w:rsidDel="00000000" w:rsidR="00000000" w:rsidRPr="00000000">
        <w:rPr>
          <w:sz w:val="72"/>
          <w:szCs w:val="72"/>
          <w:rtl w:val="1"/>
        </w:rPr>
        <w:t xml:space="preserve"> </w:t>
      </w:r>
    </w:p>
    <w:p w:rsidR="00000000" w:rsidDel="00000000" w:rsidP="00000000" w:rsidRDefault="00000000" w:rsidRPr="00000000" w14:paraId="0000000C">
      <w:pPr>
        <w:tabs>
          <w:tab w:val="left" w:leader="none" w:pos="4706"/>
        </w:tabs>
        <w:bidi w:val="1"/>
        <w:jc w:val="center"/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202</w:t>
      </w:r>
      <w:r w:rsidDel="00000000" w:rsidR="00000000" w:rsidRPr="00000000">
        <w:rPr>
          <w:sz w:val="72"/>
          <w:szCs w:val="7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296"/>
            </w:tabs>
            <w:bidi w:val="1"/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tl w:val="0"/>
              </w:rPr>
            </w:r>
          </w:hyperlink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1. </w:t>
            </w:r>
          </w:hyperlink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תקציר</w:t>
            </w:r>
          </w:hyperlink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מנהלים</w:t>
            </w:r>
          </w:hyperlink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296"/>
            </w:tabs>
            <w:bidi w:val="1"/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הקדמה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296"/>
            </w:tabs>
            <w:bidi w:val="1"/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תיחום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הסקר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296"/>
            </w:tabs>
            <w:bidi w:val="1"/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תרחיש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ייחוס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296"/>
            </w:tabs>
            <w:bidi w:val="1"/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רמת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הסיכון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296"/>
            </w:tabs>
            <w:bidi w:val="1"/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tl w:val="0"/>
              </w:rPr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2. 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מיפוי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נכסי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מידע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ומאגרי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מידע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296"/>
            </w:tabs>
            <w:bidi w:val="1"/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tl w:val="0"/>
              </w:rPr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3. 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מיפוי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תהליכים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טכנולוגיים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296"/>
            </w:tabs>
            <w:bidi w:val="1"/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tl w:val="0"/>
              </w:rPr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4. 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סיכונים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מרכזיים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שזוהו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bidi w:val="1"/>
            <w:rPr>
              <w:color w:val="000000"/>
              <w:sz w:val="44"/>
              <w:szCs w:val="4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bidi w:val="1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bidi w:val="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rtl w:val="1"/>
            </w:rPr>
            <w:t xml:space="preserve">תקציר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rtl w:val="1"/>
            </w:rPr>
            <w:t xml:space="preserve">מנהלים</w:t>
          </w:r>
        </w:sdtContent>
      </w:sdt>
    </w:p>
    <w:p w:rsidR="00000000" w:rsidDel="00000000" w:rsidP="00000000" w:rsidRDefault="00000000" w:rsidRPr="00000000" w14:paraId="0000002A">
      <w:pPr>
        <w:pStyle w:val="Heading2"/>
        <w:bidi w:val="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bidi w:val="1"/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rtl w:val="1"/>
            </w:rPr>
            <w:t xml:space="preserve">הקדמה</w:t>
          </w:r>
        </w:sdtContent>
      </w:sdt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סיכוני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סייבר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מהווים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משמעותי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הסיכונים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התפעוליים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אליהם</w:t>
      </w:r>
    </w:p>
    <w:p w:rsidR="00000000" w:rsidDel="00000000" w:rsidP="00000000" w:rsidRDefault="00000000" w:rsidRPr="00000000" w14:paraId="0000002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חשופות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ולהתממשותם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עסקיות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לרבות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פגיעה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במוניטין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אובדן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הכנסות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חשיפה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וכו</w:t>
      </w:r>
      <w:r w:rsidDel="00000000" w:rsidR="00000000" w:rsidRPr="00000000">
        <w:rPr>
          <w:sz w:val="24"/>
          <w:szCs w:val="24"/>
          <w:rtl w:val="1"/>
        </w:rPr>
        <w:t xml:space="preserve">.'</w:t>
      </w:r>
    </w:p>
    <w:p w:rsidR="00000000" w:rsidDel="00000000" w:rsidP="00000000" w:rsidRDefault="00000000" w:rsidRPr="00000000" w14:paraId="0000003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מטרות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סיכוני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סייבר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הפחתת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הסבירות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לפגיעה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בתהליכים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העסקיים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הארגון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מהתממשות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סיכונים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במרחב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הסייבר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וצמצום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ההשפעה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עליהם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שהתממשו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סיכונים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להפחית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סיכוני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סייבר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שיטתי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יעיל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ואפקטיבי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נדרש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ותהליכים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עסקיים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ולזהות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סיכוני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הסייבר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אליהם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חשופים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לגבש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הפחתה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תיעדוף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הטיפול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בסיכונים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לעוצמתם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ולמידת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השפעתם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החברה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תסייע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ההחלטות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למשאבים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נדרשת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להשקיע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בהגנת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סייבר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סיכוני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סייבר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לזהות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סיכוני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הסייבר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העלולים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לפגוע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בהשגת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היעדים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העסקיים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להעריך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רמת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הסיכון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שקלול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מרכיבי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וסבירות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להעריך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אפקטיביות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סביבת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הבקרה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התומכות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בתהליכים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עסקיים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הנהלה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ודירקטוריון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תמונת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עדכנית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קבלת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החלטות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מרחב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הסייבר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ומשטח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החברה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נתייחס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להיבטים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הבאים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התהליך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העסקי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מקצה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לקצה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מיפוי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נכסי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ומאגרי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החברה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סיכוני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סייבר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נפוצים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למערכות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החברה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bidi w:val="1"/>
        <w:rPr/>
      </w:pPr>
      <w:bookmarkStart w:colFirst="0" w:colLast="0" w:name="_heading=h.1fob9te" w:id="2"/>
      <w:bookmarkEnd w:id="2"/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rtl w:val="1"/>
            </w:rPr>
            <w:t xml:space="preserve">תיחום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rtl w:val="1"/>
            </w:rPr>
            <w:t xml:space="preserve">הסקר</w:t>
          </w:r>
        </w:sdtContent>
      </w:sdt>
    </w:p>
    <w:p w:rsidR="00000000" w:rsidDel="00000000" w:rsidP="00000000" w:rsidRDefault="00000000" w:rsidRPr="00000000" w14:paraId="0000003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במסגרת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נבדקו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הנכסים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והתהליכים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הבאים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התקשוב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החברה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לסביבות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הליבה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בדגש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סביבת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הפיתוח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קוד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גיבויים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ותצורת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שינויים</w:t>
      </w:r>
    </w:p>
    <w:p w:rsidR="00000000" w:rsidDel="00000000" w:rsidP="00000000" w:rsidRDefault="00000000" w:rsidRPr="00000000" w14:paraId="00000044">
      <w:pPr>
        <w:pStyle w:val="Heading2"/>
        <w:bidi w:val="1"/>
        <w:rPr/>
      </w:pPr>
      <w:bookmarkStart w:colFirst="0" w:colLast="0" w:name="_heading=h.3znysh7" w:id="3"/>
      <w:bookmarkEnd w:id="3"/>
      <w:sdt>
        <w:sdtPr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rtl w:val="1"/>
            </w:rPr>
            <w:t xml:space="preserve">תרחיש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6"/>
        </w:sdtPr>
        <w:sdtContent>
          <w:r w:rsidDel="00000000" w:rsidR="00000000" w:rsidRPr="00000000">
            <w:rPr>
              <w:rFonts w:ascii="Arial" w:cs="Arial" w:eastAsia="Arial" w:hAnsi="Arial"/>
              <w:rtl w:val="1"/>
            </w:rPr>
            <w:t xml:space="preserve">ייחוס</w:t>
          </w:r>
        </w:sdtContent>
      </w:sdt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תרחיש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הייחוס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נגזר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ומתחומי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הסיכונים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ולקביעת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היקף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ומטרות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הפחתת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הסיכונים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גיבוש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התרחיש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השחקנים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שעלולים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לפעול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כנגד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החברה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מהי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המוטיבציה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לפעילותם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מטרות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והשלכותיה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מניתוח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ותחומי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פעילותה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הסיכונים</w:t>
      </w:r>
      <w:r w:rsidDel="00000000" w:rsidR="00000000" w:rsidRPr="00000000">
        <w:rPr>
          <w:sz w:val="24"/>
          <w:szCs w:val="24"/>
          <w:rtl w:val="1"/>
        </w:rPr>
        <w:t xml:space="preserve">,</w:t>
      </w:r>
    </w:p>
    <w:p w:rsidR="00000000" w:rsidDel="00000000" w:rsidP="00000000" w:rsidRDefault="00000000" w:rsidRPr="00000000" w14:paraId="00000048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גובש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תרחיש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הייחוס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המתואר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להלן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תוקף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חיצוני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המבקש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כספי</w:t>
      </w:r>
      <w:r w:rsidDel="00000000" w:rsidR="00000000" w:rsidRPr="00000000">
        <w:rPr>
          <w:sz w:val="24"/>
          <w:szCs w:val="24"/>
          <w:rtl w:val="1"/>
        </w:rPr>
        <w:t xml:space="preserve"> / </w:t>
      </w:r>
      <w:r w:rsidDel="00000000" w:rsidR="00000000" w:rsidRPr="00000000">
        <w:rPr>
          <w:sz w:val="24"/>
          <w:szCs w:val="24"/>
          <w:rtl w:val="1"/>
        </w:rPr>
        <w:t xml:space="preserve">יתרון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תחרותי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לשבש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ולגרום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לנזק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תדמיתי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האינטרנט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לשרתי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גניבת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עסקיים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ולקוחות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4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לחילופין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גורם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פנימי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בדגש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ממורמר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המבקש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כספי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לנצל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למערכות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שיבוש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עסקיים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הונאה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B">
      <w:pPr>
        <w:pStyle w:val="Heading2"/>
        <w:bidi w:val="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bidi w:val="1"/>
        <w:rPr/>
      </w:pPr>
      <w:sdt>
        <w:sdtPr>
          <w:tag w:val="goog_rdk_7"/>
        </w:sdtPr>
        <w:sdtContent>
          <w:r w:rsidDel="00000000" w:rsidR="00000000" w:rsidRPr="00000000">
            <w:rPr>
              <w:rFonts w:ascii="Arial" w:cs="Arial" w:eastAsia="Arial" w:hAnsi="Arial"/>
              <w:rtl w:val="1"/>
            </w:rPr>
            <w:t xml:space="preserve">רמת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8"/>
        </w:sdtPr>
        <w:sdtContent>
          <w:r w:rsidDel="00000000" w:rsidR="00000000" w:rsidRPr="00000000">
            <w:rPr>
              <w:rFonts w:ascii="Arial" w:cs="Arial" w:eastAsia="Arial" w:hAnsi="Arial"/>
              <w:rtl w:val="1"/>
            </w:rPr>
            <w:t xml:space="preserve">הסיכון</w:t>
          </w:r>
        </w:sdtContent>
      </w:sdt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שזוהתה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1"/>
        </w:rPr>
        <w:t xml:space="preserve">גבוהה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חושבה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הצלבת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הסבירות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ועוצמת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המטריצה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מבוססת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הסייבר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הלאומי</w:t>
      </w:r>
      <w:r w:rsidDel="00000000" w:rsidR="00000000" w:rsidRPr="00000000">
        <w:rPr>
          <w:sz w:val="24"/>
          <w:szCs w:val="24"/>
          <w:rtl w:val="1"/>
        </w:rPr>
        <w:t xml:space="preserve">): </w:t>
      </w:r>
    </w:p>
    <w:p w:rsidR="00000000" w:rsidDel="00000000" w:rsidP="00000000" w:rsidRDefault="00000000" w:rsidRPr="00000000" w14:paraId="00000050">
      <w:pPr>
        <w:bidi w:val="1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274310" cy="2054860"/>
            <wp:effectExtent b="0" l="0" r="0" t="0"/>
            <wp:docPr id="16056944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bidi w:val="1"/>
        <w:rPr>
          <w:rFonts w:ascii="Aptos" w:cs="Aptos" w:eastAsia="Aptos" w:hAnsi="Aptos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rtl w:val="1"/>
        </w:rPr>
        <w:t xml:space="preserve">2. </w:t>
      </w:r>
      <w:r w:rsidDel="00000000" w:rsidR="00000000" w:rsidRPr="00000000">
        <w:rPr>
          <w:rFonts w:ascii="Aptos" w:cs="Aptos" w:eastAsia="Aptos" w:hAnsi="Aptos"/>
          <w:rtl w:val="1"/>
        </w:rPr>
        <w:t xml:space="preserve">מיפוי</w:t>
      </w:r>
      <w:r w:rsidDel="00000000" w:rsidR="00000000" w:rsidRPr="00000000">
        <w:rPr>
          <w:rFonts w:ascii="Aptos" w:cs="Aptos" w:eastAsia="Aptos" w:hAnsi="Aptos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rtl w:val="1"/>
        </w:rPr>
        <w:t xml:space="preserve">נכסי</w:t>
      </w:r>
      <w:r w:rsidDel="00000000" w:rsidR="00000000" w:rsidRPr="00000000">
        <w:rPr>
          <w:rFonts w:ascii="Aptos" w:cs="Aptos" w:eastAsia="Aptos" w:hAnsi="Aptos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rtl w:val="1"/>
        </w:rPr>
        <w:t xml:space="preserve">מידע</w:t>
      </w:r>
      <w:r w:rsidDel="00000000" w:rsidR="00000000" w:rsidRPr="00000000">
        <w:rPr>
          <w:rFonts w:ascii="Aptos" w:cs="Aptos" w:eastAsia="Aptos" w:hAnsi="Aptos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rtl w:val="1"/>
        </w:rPr>
        <w:t xml:space="preserve">ומאגרי</w:t>
      </w:r>
      <w:r w:rsidDel="00000000" w:rsidR="00000000" w:rsidRPr="00000000">
        <w:rPr>
          <w:rFonts w:ascii="Aptos" w:cs="Aptos" w:eastAsia="Aptos" w:hAnsi="Aptos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rtl w:val="1"/>
        </w:rPr>
        <w:t xml:space="preserve">מידע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להלן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מיפוי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בארגון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שתועדו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הסקר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865.0" w:type="dxa"/>
        <w:jc w:val="left"/>
        <w:tblBorders>
          <w:top w:color="60cbf3" w:space="0" w:sz="4" w:val="single"/>
          <w:left w:color="60cbf3" w:space="0" w:sz="4" w:val="single"/>
          <w:bottom w:color="60cbf3" w:space="0" w:sz="4" w:val="single"/>
          <w:right w:color="60cbf3" w:space="0" w:sz="4" w:val="single"/>
          <w:insideH w:color="60cbf3" w:space="0" w:sz="4" w:val="single"/>
          <w:insideV w:color="60cbf3" w:space="0" w:sz="4" w:val="single"/>
        </w:tblBorders>
        <w:tblLayout w:type="fixed"/>
        <w:tblLook w:val="04A0"/>
      </w:tblPr>
      <w:tblGrid>
        <w:gridCol w:w="1624"/>
        <w:gridCol w:w="1618"/>
        <w:gridCol w:w="1603"/>
        <w:gridCol w:w="1617"/>
        <w:gridCol w:w="2403"/>
        <w:tblGridChange w:id="0">
          <w:tblGrid>
            <w:gridCol w:w="1624"/>
            <w:gridCol w:w="1618"/>
            <w:gridCol w:w="1603"/>
            <w:gridCol w:w="1617"/>
            <w:gridCol w:w="24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נכס</w:t>
            </w:r>
          </w:p>
        </w:tc>
        <w:tc>
          <w:tcPr/>
          <w:p w:rsidR="00000000" w:rsidDel="00000000" w:rsidP="00000000" w:rsidRDefault="00000000" w:rsidRPr="00000000" w14:paraId="0000005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הנכס</w:t>
            </w:r>
          </w:p>
        </w:tc>
        <w:tc>
          <w:tcPr/>
          <w:p w:rsidR="00000000" w:rsidDel="00000000" w:rsidP="00000000" w:rsidRDefault="00000000" w:rsidRPr="00000000" w14:paraId="0000005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תצורת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פריסה</w:t>
            </w:r>
          </w:p>
        </w:tc>
        <w:tc>
          <w:tcPr/>
          <w:p w:rsidR="00000000" w:rsidDel="00000000" w:rsidP="00000000" w:rsidRDefault="00000000" w:rsidRPr="00000000" w14:paraId="0000005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ייעוד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הנכס</w:t>
            </w:r>
          </w:p>
        </w:tc>
        <w:tc>
          <w:tcPr/>
          <w:p w:rsidR="00000000" w:rsidDel="00000000" w:rsidP="00000000" w:rsidRDefault="00000000" w:rsidRPr="00000000" w14:paraId="0000005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רגישות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המידע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36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36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36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36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36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bidi w:val="1"/>
        <w:spacing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spacing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spacing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spacing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spacing w:line="240" w:lineRule="auto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spacing w:line="240" w:lineRule="auto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spacing w:line="240" w:lineRule="auto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spacing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bidi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Fonts w:ascii="Aptos" w:cs="Aptos" w:eastAsia="Aptos" w:hAnsi="Aptos"/>
          <w:rtl w:val="1"/>
        </w:rPr>
        <w:t xml:space="preserve">מיפוי</w:t>
      </w:r>
      <w:r w:rsidDel="00000000" w:rsidR="00000000" w:rsidRPr="00000000">
        <w:rPr>
          <w:rFonts w:ascii="Aptos" w:cs="Aptos" w:eastAsia="Aptos" w:hAnsi="Aptos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rtl w:val="1"/>
        </w:rPr>
        <w:t xml:space="preserve">תהליכים</w:t>
      </w:r>
      <w:r w:rsidDel="00000000" w:rsidR="00000000" w:rsidRPr="00000000">
        <w:rPr>
          <w:rFonts w:ascii="Aptos" w:cs="Aptos" w:eastAsia="Aptos" w:hAnsi="Aptos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rtl w:val="1"/>
        </w:rPr>
        <w:t xml:space="preserve">טכנולוגיים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להלן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מיפוי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התהליכים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הטכנולוגיים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המנוהלים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שתועדו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הסקר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8260.0" w:type="dxa"/>
        <w:jc w:val="left"/>
        <w:tblBorders>
          <w:top w:color="60cbf3" w:space="0" w:sz="4" w:val="single"/>
          <w:left w:color="60cbf3" w:space="0" w:sz="4" w:val="single"/>
          <w:bottom w:color="60cbf3" w:space="0" w:sz="4" w:val="single"/>
          <w:right w:color="60cbf3" w:space="0" w:sz="4" w:val="single"/>
          <w:insideH w:color="60cbf3" w:space="0" w:sz="4" w:val="single"/>
          <w:insideV w:color="60cbf3" w:space="0" w:sz="4" w:val="single"/>
        </w:tblBorders>
        <w:tblLayout w:type="fixed"/>
        <w:tblLook w:val="04A0"/>
      </w:tblPr>
      <w:tblGrid>
        <w:gridCol w:w="1947"/>
        <w:gridCol w:w="1078"/>
        <w:gridCol w:w="5235"/>
        <w:tblGridChange w:id="0">
          <w:tblGrid>
            <w:gridCol w:w="1947"/>
            <w:gridCol w:w="1078"/>
            <w:gridCol w:w="52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תהליך</w:t>
            </w:r>
          </w:p>
        </w:tc>
        <w:tc>
          <w:tcPr/>
          <w:p w:rsidR="00000000" w:rsidDel="00000000" w:rsidP="00000000" w:rsidRDefault="00000000" w:rsidRPr="00000000" w14:paraId="0000009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גורם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אחראי</w:t>
            </w:r>
          </w:p>
        </w:tc>
        <w:tc>
          <w:tcPr/>
          <w:p w:rsidR="00000000" w:rsidDel="00000000" w:rsidP="00000000" w:rsidRDefault="00000000" w:rsidRPr="00000000" w14:paraId="00000091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פירוט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bidi w:val="1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4. </w:t>
      </w:r>
      <w:sdt>
        <w:sdtPr>
          <w:tag w:val="goog_rdk_9"/>
        </w:sdtPr>
        <w:sdtContent>
          <w:r w:rsidDel="00000000" w:rsidR="00000000" w:rsidRPr="00000000">
            <w:rPr>
              <w:rFonts w:ascii="Arial" w:cs="Arial" w:eastAsia="Arial" w:hAnsi="Arial"/>
              <w:rtl w:val="1"/>
            </w:rPr>
            <w:t xml:space="preserve">סיכונים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0"/>
        </w:sdtPr>
        <w:sdtContent>
          <w:r w:rsidDel="00000000" w:rsidR="00000000" w:rsidRPr="00000000">
            <w:rPr>
              <w:rFonts w:ascii="Arial" w:cs="Arial" w:eastAsia="Arial" w:hAnsi="Arial"/>
              <w:rtl w:val="1"/>
            </w:rPr>
            <w:t xml:space="preserve">מרכזיים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1"/>
        </w:sdtPr>
        <w:sdtContent>
          <w:r w:rsidDel="00000000" w:rsidR="00000000" w:rsidRPr="00000000">
            <w:rPr>
              <w:rFonts w:ascii="Arial" w:cs="Arial" w:eastAsia="Arial" w:hAnsi="Arial"/>
              <w:rtl w:val="1"/>
            </w:rPr>
            <w:t xml:space="preserve">שזוהו</w:t>
          </w:r>
        </w:sdtContent>
      </w:sdt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להלן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פילוח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סיכוני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הסייבר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שזוהו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במסגרת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הסיכונים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החומרה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שלהם</w:t>
      </w:r>
      <w:r w:rsidDel="00000000" w:rsidR="00000000" w:rsidRPr="00000000">
        <w:rPr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/>
        <w:drawing>
          <wp:inline distB="0" distT="0" distL="0" distR="0">
            <wp:extent cx="5276850" cy="3076575"/>
            <wp:docPr id="1605694412" name=""/>
            <a:graphic>
              <a:graphicData uri="http://schemas.openxmlformats.org/drawingml/2006/chart">
                <c:chart r:id="rId9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הסיכונים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כדלקמן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44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844"/>
        <w:gridCol w:w="1611"/>
        <w:gridCol w:w="1472"/>
        <w:gridCol w:w="1657"/>
        <w:gridCol w:w="2860"/>
        <w:tblGridChange w:id="0">
          <w:tblGrid>
            <w:gridCol w:w="1844"/>
            <w:gridCol w:w="1611"/>
            <w:gridCol w:w="1472"/>
            <w:gridCol w:w="1657"/>
            <w:gridCol w:w="28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הסיכון</w:t>
            </w:r>
          </w:p>
        </w:tc>
        <w:tc>
          <w:tcPr/>
          <w:p w:rsidR="00000000" w:rsidDel="00000000" w:rsidP="00000000" w:rsidRDefault="00000000" w:rsidRPr="00000000" w14:paraId="000000B4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תרחיש</w:t>
            </w:r>
          </w:p>
        </w:tc>
        <w:tc>
          <w:tcPr/>
          <w:p w:rsidR="00000000" w:rsidDel="00000000" w:rsidP="00000000" w:rsidRDefault="00000000" w:rsidRPr="00000000" w14:paraId="000000B5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השלכות</w:t>
            </w:r>
          </w:p>
        </w:tc>
        <w:tc>
          <w:tcPr/>
          <w:p w:rsidR="00000000" w:rsidDel="00000000" w:rsidP="00000000" w:rsidRDefault="00000000" w:rsidRPr="00000000" w14:paraId="000000B6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רמת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חומרת</w:t>
            </w:r>
            <w:r w:rsidDel="00000000" w:rsidR="00000000" w:rsidRPr="00000000">
              <w:rPr>
                <w:rtl w:val="1"/>
              </w:rPr>
              <w:t xml:space="preserve">      </w:t>
            </w:r>
            <w:r w:rsidDel="00000000" w:rsidR="00000000" w:rsidRPr="00000000">
              <w:rPr>
                <w:rtl w:val="1"/>
              </w:rPr>
              <w:t xml:space="preserve">הסיכון</w:t>
            </w:r>
          </w:p>
        </w:tc>
        <w:tc>
          <w:tcPr/>
          <w:p w:rsidR="00000000" w:rsidDel="00000000" w:rsidP="00000000" w:rsidRDefault="00000000" w:rsidRPr="00000000" w14:paraId="000000B7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המלצות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 </w:t>
            </w:r>
            <w:r w:rsidDel="00000000" w:rsidR="00000000" w:rsidRPr="00000000">
              <w:rPr>
                <w:rtl w:val="1"/>
              </w:rPr>
              <w:t xml:space="preserve">דלף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רגיש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האינטרנט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החברה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תוקף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המנצל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חולשות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באבטחת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האינטרנט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גישה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בלתי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מורשית</w:t>
            </w:r>
          </w:p>
          <w:p w:rsidR="00000000" w:rsidDel="00000000" w:rsidP="00000000" w:rsidRDefault="00000000" w:rsidRPr="00000000" w14:paraId="000000B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השמורים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דוגמת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לקוחות</w:t>
            </w:r>
            <w:r w:rsidDel="00000000" w:rsidR="00000000" w:rsidRPr="00000000">
              <w:rPr>
                <w:rtl w:val="1"/>
              </w:rPr>
              <w:t xml:space="preserve"> ,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עסקי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מילון</w:t>
            </w:r>
            <w:r w:rsidDel="00000000" w:rsidR="00000000" w:rsidRPr="00000000">
              <w:rPr>
                <w:rtl w:val="1"/>
              </w:rPr>
              <w:t xml:space="preserve">) , </w:t>
            </w:r>
            <w:r w:rsidDel="00000000" w:rsidR="00000000" w:rsidRPr="00000000">
              <w:rPr>
                <w:rtl w:val="1"/>
              </w:rPr>
              <w:t xml:space="preserve">וכו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חשיפת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לקוחות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רגיש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השמור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האינטרנט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עלולה</w:t>
            </w:r>
          </w:p>
          <w:p w:rsidR="00000000" w:rsidDel="00000000" w:rsidP="00000000" w:rsidRDefault="00000000" w:rsidRPr="00000000" w14:paraId="000000C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להוביל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לנזק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מהותי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למוניטין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החברה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ולנזק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פיננסי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בעקבותיו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C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bidi w:val="1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bidi w:val="1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bidi w:val="1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bidi w:val="1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bidi w:val="1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ff0000"/>
                <w:rtl w:val="1"/>
              </w:rPr>
              <w:t xml:space="preserve">     </w:t>
            </w:r>
            <w:r w:rsidDel="00000000" w:rsidR="00000000" w:rsidRPr="00000000">
              <w:rPr>
                <w:color w:val="ff0000"/>
                <w:rtl w:val="1"/>
              </w:rPr>
              <w:t xml:space="preserve">גבוהה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מומלץ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כי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תיושם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מתודולוגיית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פיתוח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מאובטח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באתר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האינטרנט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36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36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מומלץ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לבצע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סקרי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סיכונים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code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טרם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העברה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לייצור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של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פיתוחים</w:t>
            </w:r>
          </w:p>
          <w:p w:rsidR="00000000" w:rsidDel="00000000" w:rsidP="00000000" w:rsidRDefault="00000000" w:rsidRPr="00000000" w14:paraId="000000C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     </w:t>
            </w:r>
            <w:r w:rsidDel="00000000" w:rsidR="00000000" w:rsidRPr="00000000">
              <w:rPr>
                <w:rtl w:val="1"/>
              </w:rPr>
              <w:t xml:space="preserve">ושינויי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תוכנה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C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מומלץ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לקיים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מבדקי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חדירה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עיתיים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לאתר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האינטרנט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D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מומלץ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לקבל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התרעות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אודות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חולשות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בספריות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צד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ג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בהן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נעשה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שימוש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בקוד</w:t>
            </w:r>
          </w:p>
          <w:p w:rsidR="00000000" w:rsidDel="00000000" w:rsidP="00000000" w:rsidRDefault="00000000" w:rsidRPr="00000000" w14:paraId="000000D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2. </w:t>
            </w:r>
            <w:r w:rsidDel="00000000" w:rsidR="00000000" w:rsidRPr="00000000">
              <w:rPr>
                <w:rtl w:val="1"/>
              </w:rPr>
              <w:t xml:space="preserve">שיבושים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בפעילות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האינטרנט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החברה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תוקף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עומס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משאבי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האתר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למשל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באמצעות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ברשתות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מחשוב</w:t>
            </w:r>
          </w:p>
          <w:p w:rsidR="00000000" w:rsidDel="00000000" w:rsidP="00000000" w:rsidRDefault="00000000" w:rsidRPr="00000000" w14:paraId="000000D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שבשליטתו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Botnets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היוצרות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היקף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חריג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פניות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לאתר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לחילופין</w:t>
            </w:r>
            <w:r w:rsidDel="00000000" w:rsidR="00000000" w:rsidRPr="00000000">
              <w:rPr>
                <w:rtl w:val="1"/>
              </w:rPr>
              <w:t xml:space="preserve">,</w:t>
            </w:r>
          </w:p>
          <w:p w:rsidR="00000000" w:rsidDel="00000000" w:rsidP="00000000" w:rsidRDefault="00000000" w:rsidRPr="00000000" w14:paraId="000000D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השחתת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המונע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אפשרות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שימוש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זמינות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האינטרנט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החברה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יוביל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לפגיעה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ביכולת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ללקוחותיה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ולפגיעה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בהיקף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המכירות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יתרה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מכך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השחתת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אינטרנט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מתפרסמת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יחסית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התקשורת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ופוגעת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במוניטין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החברה</w:t>
            </w:r>
          </w:p>
        </w:tc>
        <w:tc>
          <w:tcPr/>
          <w:p w:rsidR="00000000" w:rsidDel="00000000" w:rsidP="00000000" w:rsidRDefault="00000000" w:rsidRPr="00000000" w14:paraId="000000D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bidi w:val="1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2">
            <w:pPr>
              <w:bidi w:val="1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ff0000"/>
                <w:rtl w:val="1"/>
              </w:rPr>
              <w:t xml:space="preserve">     </w:t>
            </w:r>
            <w:r w:rsidDel="00000000" w:rsidR="00000000" w:rsidRPr="00000000">
              <w:rPr>
                <w:color w:val="ff0000"/>
                <w:rtl w:val="1"/>
              </w:rPr>
              <w:t xml:space="preserve">גבוהה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36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מומלץ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לשקול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הטמעת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כלי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אבטחה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וניטור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רלוונטיים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לאתר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האינטרנט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,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דוגמת</w:t>
            </w:r>
          </w:p>
          <w:p w:rsidR="00000000" w:rsidDel="00000000" w:rsidP="00000000" w:rsidRDefault="00000000" w:rsidRPr="00000000" w14:paraId="000000E5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.Web Application Firewall</w:t>
            </w:r>
          </w:p>
          <w:p w:rsidR="00000000" w:rsidDel="00000000" w:rsidP="00000000" w:rsidRDefault="00000000" w:rsidRPr="00000000" w14:paraId="000000E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מומלץ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לשקול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הטמעת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מנגנון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להתמודדות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עם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מתקפות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מניעת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שירות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מבוזרות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E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36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מומלץ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לנטר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באופן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שוטף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אתר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האינטרנט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,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לרבות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בהיבט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היקף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תעבורה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36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שוטפת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,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ריבוי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ניסיונות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גישה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כושלים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וכו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'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36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36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יש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להפריד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סביבות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לחשבונות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AWS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שונים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36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bidi w:val="1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bidi w:val="1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bidi w:val="1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3. </w:t>
            </w:r>
            <w:r w:rsidDel="00000000" w:rsidR="00000000" w:rsidRPr="00000000">
              <w:rPr>
                <w:rtl w:val="1"/>
              </w:rPr>
              <w:t xml:space="preserve">פגיעה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בשרידות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ושירותי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החברה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בעיית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שרידות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שרתי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בעקבות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בלתי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צפויה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לחלופין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תחזוקה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יזומה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דוגמת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התקנת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עדכוני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אבטחה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המחייבים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אתחול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השרת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תחזוקה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יזומה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הענן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דוגמת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עדכון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firmware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זמינות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האינטרנט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החברה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יוביל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לפגיעה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ביכולת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ללקוחותיה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ולפגיעה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בהיקף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המכירות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bidi w:val="1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F5">
            <w:pPr>
              <w:bidi w:val="1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bidi w:val="1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ff0000"/>
                <w:rtl w:val="1"/>
              </w:rPr>
              <w:t xml:space="preserve">     </w:t>
            </w:r>
            <w:r w:rsidDel="00000000" w:rsidR="00000000" w:rsidRPr="00000000">
              <w:rPr>
                <w:color w:val="ff0000"/>
                <w:rtl w:val="1"/>
              </w:rPr>
              <w:t xml:space="preserve">גבוהה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36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יש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להקים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לפחות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שני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שרתים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נפרדים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,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כל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אחד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-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Availability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zone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נפרד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,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באותו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אזור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גיאוגרפי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(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Region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)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ולחשוב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על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פתרון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גישה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שריד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עבור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השירות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,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החל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מהפניית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תעבורת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תקשורת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על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-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בסיס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פניה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לשירות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DNS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(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בתצורת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Round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Robin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)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ועד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מיקום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השרתים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מאחורי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שירות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Load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Balancer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אשר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יידע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לנתב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התעבורה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בין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השרתים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,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לבדוק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Health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של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כל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אחד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מהשרתים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לפני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הפניית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תעבורה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וכו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'.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36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על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-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מנת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ליישם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שרידות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לשירותים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,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כדאי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לבחור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בפתרונות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Load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Balance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מנוהלים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דוגמת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Amazon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ELB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36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מכיוון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שמדובר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בשירותים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מנוהלים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,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ספק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הענן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דואג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-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scale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(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בהתאם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לעומסים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)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ולשרידות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הפתרון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(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חלוקה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על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פני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מספר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Availability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zones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36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לגבי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פתרונות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מנוהלים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-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Relational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databases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36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חשוב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להבין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כי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אומנם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מדובר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בפתרון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מנוהל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הכולל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בתוכו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עדכוני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אבטחה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וגיבויים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,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אך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כברירת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מחדל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הטמעת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instance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בודד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אינה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מהווה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פתרון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שריד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36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bidi w:val="1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bidi w:val="1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bidi w:val="1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4.</w:t>
            </w:r>
            <w:r w:rsidDel="00000000" w:rsidR="00000000" w:rsidRPr="00000000">
              <w:rPr>
                <w:rtl w:val="1"/>
              </w:rPr>
              <w:t xml:space="preserve">גניבת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רגיש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כגון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סיסמאות</w:t>
            </w:r>
            <w:r w:rsidDel="00000000" w:rsidR="00000000" w:rsidRPr="00000000">
              <w:rPr>
                <w:rtl w:val="1"/>
              </w:rPr>
              <w:t xml:space="preserve"> , </w:t>
            </w:r>
            <w:r w:rsidDel="00000000" w:rsidR="00000000" w:rsidRPr="00000000">
              <w:rPr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keys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הזדהות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נוספים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ממחשבי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המפתחים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תוקף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גישה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ממחשבי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המפתחים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ההזדהות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השמורים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clear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text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מ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להתחבר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לנכסי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החברה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ולסביבת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הפיתוח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גישה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בלתי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מורשית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החברה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עלולה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0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להוביל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לנזק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מהותי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למוניטין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החברה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ליתרונה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העסקי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ולנזק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פיננסי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בעקבותיו</w:t>
            </w:r>
          </w:p>
          <w:p w:rsidR="00000000" w:rsidDel="00000000" w:rsidP="00000000" w:rsidRDefault="00000000" w:rsidRPr="00000000" w14:paraId="0000010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כן</w:t>
            </w:r>
            <w:r w:rsidDel="00000000" w:rsidR="00000000" w:rsidRPr="00000000">
              <w:rPr>
                <w:rtl w:val="1"/>
              </w:rPr>
              <w:t xml:space="preserve"> ,</w:t>
            </w:r>
          </w:p>
          <w:p w:rsidR="00000000" w:rsidDel="00000000" w:rsidP="00000000" w:rsidRDefault="00000000" w:rsidRPr="00000000" w14:paraId="0000010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לפגיעה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ביכולת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ללקוחותיה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שיבוש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השחתה</w:t>
            </w:r>
          </w:p>
        </w:tc>
        <w:tc>
          <w:tcPr/>
          <w:p w:rsidR="00000000" w:rsidDel="00000000" w:rsidP="00000000" w:rsidRDefault="00000000" w:rsidRPr="00000000" w14:paraId="00000107">
            <w:pPr>
              <w:bidi w:val="1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bidi w:val="1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bidi w:val="1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bidi w:val="1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bidi w:val="1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    </w:t>
            </w:r>
            <w:r w:rsidDel="00000000" w:rsidR="00000000" w:rsidRPr="00000000">
              <w:rPr>
                <w:color w:val="ffc000"/>
                <w:rtl w:val="1"/>
              </w:rPr>
              <w:t xml:space="preserve">בינונית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שימוש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Secret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manager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לצורך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שמירה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מאובטחת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של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סיסמאות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ופרטי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הזדהות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נוספים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התקנת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EDR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על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עמדות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הקצה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ועל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שרתי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החברה</w:t>
            </w:r>
          </w:p>
          <w:p w:rsidR="00000000" w:rsidDel="00000000" w:rsidP="00000000" w:rsidRDefault="00000000" w:rsidRPr="00000000" w14:paraId="0000010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יש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להטמיע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בתהליכי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התחברות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למערכות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החברה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אימות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רב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שלבי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MFA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הכולל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שליחת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OTP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One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)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באמצעות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SMS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72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bidi w:val="1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bidi w:val="1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5. </w:t>
            </w:r>
            <w:r w:rsidDel="00000000" w:rsidR="00000000" w:rsidRPr="00000000">
              <w:rPr>
                <w:rtl w:val="1"/>
              </w:rPr>
              <w:t xml:space="preserve">איבוד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רגיש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ועסקי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עקב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הגדרת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תהליך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גיבוי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לסביבת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Prod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תהליך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גיבוי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שרתי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באחריות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החברה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להימחק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תקלה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משרתי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מנוהלים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הענן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ec</w:t>
            </w:r>
            <w:r w:rsidDel="00000000" w:rsidR="00000000" w:rsidRPr="00000000">
              <w:rPr>
                <w:rtl w:val="1"/>
              </w:rPr>
              <w:t xml:space="preserve">2 </w:t>
            </w:r>
            <w:r w:rsidDel="00000000" w:rsidR="00000000" w:rsidRPr="00000000">
              <w:rPr>
                <w:rtl w:val="1"/>
              </w:rPr>
              <w:t xml:space="preserve">החברה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שנצבר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בשרתים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טרם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התקלה</w:t>
            </w:r>
            <w:r w:rsidDel="00000000" w:rsidR="00000000" w:rsidRPr="00000000">
              <w:rPr>
                <w:rtl w:val="1"/>
              </w:rPr>
              <w:t xml:space="preserve"> , </w:t>
            </w:r>
            <w:r w:rsidDel="00000000" w:rsidR="00000000" w:rsidRPr="00000000">
              <w:rPr>
                <w:rtl w:val="1"/>
              </w:rPr>
              <w:t xml:space="preserve">דבר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להוביל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להפסדים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וקושי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בחזרה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לפעילות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עסקית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תקינה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bidi w:val="1"/>
              <w:rPr>
                <w:color w:val="ffc000"/>
              </w:rPr>
            </w:pPr>
            <w:r w:rsidDel="00000000" w:rsidR="00000000" w:rsidRPr="00000000">
              <w:rPr>
                <w:color w:val="ffc00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1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ffc000"/>
                <w:rtl w:val="1"/>
              </w:rPr>
              <w:t xml:space="preserve">     </w:t>
            </w:r>
            <w:r w:rsidDel="00000000" w:rsidR="00000000" w:rsidRPr="00000000">
              <w:rPr>
                <w:color w:val="ffc000"/>
                <w:rtl w:val="1"/>
              </w:rPr>
              <w:t xml:space="preserve">בינונית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יש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להגדיר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תהליך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גיבוי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מוסדר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לאחר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כל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שינוי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מהותי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שמתבצע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במערכות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כולל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נוהל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תצורת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שינויים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וחזרה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לאחור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לדוגמא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ניתן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ליצור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AMI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Amazon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Machine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)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של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72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שרתי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2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שמנוהלים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"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י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החברה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בלבד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לאחר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כל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שינוי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מהותי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בשרת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bidi w:val="1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bidi w:val="1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6. </w:t>
            </w:r>
            <w:r w:rsidDel="00000000" w:rsidR="00000000" w:rsidRPr="00000000">
              <w:rPr>
                <w:rtl w:val="1"/>
              </w:rPr>
              <w:t xml:space="preserve">חשיפת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עסקי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החברה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בערוצי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הדוא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באתרים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ציבוריים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באמצעות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כתובת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פרטית</w:t>
            </w:r>
          </w:p>
        </w:tc>
        <w:tc>
          <w:tcPr/>
          <w:p w:rsidR="00000000" w:rsidDel="00000000" w:rsidP="00000000" w:rsidRDefault="00000000" w:rsidRPr="00000000" w14:paraId="0000012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עסקי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החברה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בערוצי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תקשורת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כגון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gmail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2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שליטה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וניטור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מספקים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2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דבר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להקשות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תחקיר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אירוע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סייבר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בערוץ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</w:p>
        </w:tc>
        <w:tc>
          <w:tcPr/>
          <w:p w:rsidR="00000000" w:rsidDel="00000000" w:rsidP="00000000" w:rsidRDefault="00000000" w:rsidRPr="00000000" w14:paraId="0000012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טעות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מהעובדים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להוביל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לשליחת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עסקי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לגורם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חיצוני</w:t>
            </w:r>
            <w:r w:rsidDel="00000000" w:rsidR="00000000" w:rsidRPr="00000000">
              <w:rPr>
                <w:rtl w:val="1"/>
              </w:rPr>
              <w:t xml:space="preserve"> .</w:t>
            </w:r>
          </w:p>
          <w:p w:rsidR="00000000" w:rsidDel="00000000" w:rsidP="00000000" w:rsidRDefault="00000000" w:rsidRPr="00000000" w14:paraId="0000012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כן</w:t>
            </w:r>
            <w:r w:rsidDel="00000000" w:rsidR="00000000" w:rsidRPr="00000000">
              <w:rPr>
                <w:rtl w:val="1"/>
              </w:rPr>
              <w:t xml:space="preserve"> ,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ניטור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הדוא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28">
            <w:pPr>
              <w:bidi w:val="1"/>
              <w:rPr>
                <w:color w:val="ffc000"/>
              </w:rPr>
            </w:pPr>
            <w:r w:rsidDel="00000000" w:rsidR="00000000" w:rsidRPr="00000000">
              <w:rPr>
                <w:color w:val="ffc00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29">
            <w:pPr>
              <w:bidi w:val="1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bidi w:val="1"/>
              <w:rPr/>
            </w:pPr>
            <w:r w:rsidDel="00000000" w:rsidR="00000000" w:rsidRPr="00000000">
              <w:rPr>
                <w:color w:val="ffc000"/>
                <w:rtl w:val="0"/>
              </w:rPr>
              <w:t xml:space="preserve">    </w:t>
            </w:r>
            <w:r w:rsidDel="00000000" w:rsidR="00000000" w:rsidRPr="00000000">
              <w:rPr>
                <w:color w:val="00b050"/>
                <w:rtl w:val="1"/>
              </w:rPr>
              <w:t xml:space="preserve">נמוכה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יש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לעבור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לחשבון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דוא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"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עסקי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הכולל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ניטור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של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מערכת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זו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"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להקנות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יכולות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תחקור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בעת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אירוע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סייבר</w:t>
            </w:r>
          </w:p>
        </w:tc>
      </w:tr>
    </w:tbl>
    <w:p w:rsidR="00000000" w:rsidDel="00000000" w:rsidP="00000000" w:rsidRDefault="00000000" w:rsidRPr="00000000" w14:paraId="0000012C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-</w:t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רגיש</w:t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עסקי</w:t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a" w:default="1">
    <w:name w:val="Normal"/>
    <w:qFormat w:val="1"/>
    <w:pPr>
      <w:bidi w:val="1"/>
    </w:pPr>
  </w:style>
  <w:style w:type="paragraph" w:styleId="1">
    <w:name w:val="heading 1"/>
    <w:basedOn w:val="a"/>
    <w:next w:val="a"/>
    <w:link w:val="10"/>
    <w:uiPriority w:val="9"/>
    <w:qFormat w:val="1"/>
    <w:rsid w:val="00BB3F0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BB3F0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BB3F0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BB3F0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BB3F0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BB3F0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BB3F0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BB3F0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BB3F0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כותרת 1 תו"/>
    <w:basedOn w:val="a0"/>
    <w:link w:val="1"/>
    <w:uiPriority w:val="9"/>
    <w:rsid w:val="00BB3F0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20" w:customStyle="1">
    <w:name w:val="כותרת 2 תו"/>
    <w:basedOn w:val="a0"/>
    <w:link w:val="2"/>
    <w:uiPriority w:val="9"/>
    <w:rsid w:val="00BB3F0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30" w:customStyle="1">
    <w:name w:val="כותרת 3 תו"/>
    <w:basedOn w:val="a0"/>
    <w:link w:val="3"/>
    <w:uiPriority w:val="9"/>
    <w:semiHidden w:val="1"/>
    <w:rsid w:val="00BB3F0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40" w:customStyle="1">
    <w:name w:val="כותרת 4 תו"/>
    <w:basedOn w:val="a0"/>
    <w:link w:val="4"/>
    <w:uiPriority w:val="9"/>
    <w:semiHidden w:val="1"/>
    <w:rsid w:val="00BB3F0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50" w:customStyle="1">
    <w:name w:val="כותרת 5 תו"/>
    <w:basedOn w:val="a0"/>
    <w:link w:val="5"/>
    <w:uiPriority w:val="9"/>
    <w:semiHidden w:val="1"/>
    <w:rsid w:val="00BB3F0F"/>
    <w:rPr>
      <w:rFonts w:cstheme="majorBidi" w:eastAsiaTheme="majorEastAsia"/>
      <w:color w:val="0f4761" w:themeColor="accent1" w:themeShade="0000BF"/>
    </w:rPr>
  </w:style>
  <w:style w:type="character" w:styleId="60" w:customStyle="1">
    <w:name w:val="כותרת 6 תו"/>
    <w:basedOn w:val="a0"/>
    <w:link w:val="6"/>
    <w:uiPriority w:val="9"/>
    <w:semiHidden w:val="1"/>
    <w:rsid w:val="00BB3F0F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כותרת 7 תו"/>
    <w:basedOn w:val="a0"/>
    <w:link w:val="7"/>
    <w:uiPriority w:val="9"/>
    <w:semiHidden w:val="1"/>
    <w:rsid w:val="00BB3F0F"/>
    <w:rPr>
      <w:rFonts w:cstheme="majorBidi" w:eastAsiaTheme="majorEastAsia"/>
      <w:color w:val="595959" w:themeColor="text1" w:themeTint="0000A6"/>
    </w:rPr>
  </w:style>
  <w:style w:type="character" w:styleId="80" w:customStyle="1">
    <w:name w:val="כותרת 8 תו"/>
    <w:basedOn w:val="a0"/>
    <w:link w:val="8"/>
    <w:uiPriority w:val="9"/>
    <w:semiHidden w:val="1"/>
    <w:rsid w:val="00BB3F0F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כותרת 9 תו"/>
    <w:basedOn w:val="a0"/>
    <w:link w:val="9"/>
    <w:uiPriority w:val="9"/>
    <w:semiHidden w:val="1"/>
    <w:rsid w:val="00BB3F0F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BB3F0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כותרת טקסט תו"/>
    <w:basedOn w:val="a0"/>
    <w:link w:val="a3"/>
    <w:uiPriority w:val="10"/>
    <w:rsid w:val="00BB3F0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BB3F0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6" w:customStyle="1">
    <w:name w:val="כותרת משנה תו"/>
    <w:basedOn w:val="a0"/>
    <w:link w:val="a5"/>
    <w:uiPriority w:val="11"/>
    <w:rsid w:val="00BB3F0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 w:val="1"/>
    <w:rsid w:val="00BB3F0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a8" w:customStyle="1">
    <w:name w:val="ציטוט תו"/>
    <w:basedOn w:val="a0"/>
    <w:link w:val="a7"/>
    <w:uiPriority w:val="29"/>
    <w:rsid w:val="00BB3F0F"/>
    <w:rPr>
      <w:i w:val="1"/>
      <w:iCs w:val="1"/>
      <w:color w:val="404040" w:themeColor="text1" w:themeTint="0000BF"/>
    </w:rPr>
  </w:style>
  <w:style w:type="paragraph" w:styleId="a9">
    <w:name w:val="List Paragraph"/>
    <w:basedOn w:val="a"/>
    <w:uiPriority w:val="34"/>
    <w:qFormat w:val="1"/>
    <w:rsid w:val="00BB3F0F"/>
    <w:pPr>
      <w:ind w:left="720"/>
      <w:contextualSpacing w:val="1"/>
    </w:pPr>
  </w:style>
  <w:style w:type="character" w:styleId="aa">
    <w:name w:val="Intense Emphasis"/>
    <w:basedOn w:val="a0"/>
    <w:uiPriority w:val="21"/>
    <w:qFormat w:val="1"/>
    <w:rsid w:val="00BB3F0F"/>
    <w:rPr>
      <w:i w:val="1"/>
      <w:iCs w:val="1"/>
      <w:color w:val="0f4761" w:themeColor="accent1" w:themeShade="0000BF"/>
    </w:rPr>
  </w:style>
  <w:style w:type="paragraph" w:styleId="ab">
    <w:name w:val="Intense Quote"/>
    <w:basedOn w:val="a"/>
    <w:next w:val="a"/>
    <w:link w:val="ac"/>
    <w:uiPriority w:val="30"/>
    <w:qFormat w:val="1"/>
    <w:rsid w:val="00BB3F0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c" w:customStyle="1">
    <w:name w:val="ציטוט חזק תו"/>
    <w:basedOn w:val="a0"/>
    <w:link w:val="ab"/>
    <w:uiPriority w:val="30"/>
    <w:rsid w:val="00BB3F0F"/>
    <w:rPr>
      <w:i w:val="1"/>
      <w:iCs w:val="1"/>
      <w:color w:val="0f4761" w:themeColor="accent1" w:themeShade="0000BF"/>
    </w:rPr>
  </w:style>
  <w:style w:type="character" w:styleId="ad">
    <w:name w:val="Intense Reference"/>
    <w:basedOn w:val="a0"/>
    <w:uiPriority w:val="32"/>
    <w:qFormat w:val="1"/>
    <w:rsid w:val="00BB3F0F"/>
    <w:rPr>
      <w:b w:val="1"/>
      <w:bCs w:val="1"/>
      <w:smallCaps w:val="1"/>
      <w:color w:val="0f4761" w:themeColor="accent1" w:themeShade="0000BF"/>
      <w:spacing w:val="5"/>
    </w:rPr>
  </w:style>
  <w:style w:type="paragraph" w:styleId="ae">
    <w:name w:val="header"/>
    <w:basedOn w:val="a"/>
    <w:link w:val="af"/>
    <w:uiPriority w:val="99"/>
    <w:unhideWhenUsed w:val="1"/>
    <w:rsid w:val="00057219"/>
    <w:pPr>
      <w:tabs>
        <w:tab w:val="center" w:pos="4153"/>
        <w:tab w:val="right" w:pos="8306"/>
      </w:tabs>
      <w:spacing w:after="0" w:line="240" w:lineRule="auto"/>
    </w:pPr>
  </w:style>
  <w:style w:type="character" w:styleId="af" w:customStyle="1">
    <w:name w:val="כותרת עליונה תו"/>
    <w:basedOn w:val="a0"/>
    <w:link w:val="ae"/>
    <w:uiPriority w:val="99"/>
    <w:rsid w:val="00057219"/>
  </w:style>
  <w:style w:type="paragraph" w:styleId="af0">
    <w:name w:val="footer"/>
    <w:basedOn w:val="a"/>
    <w:link w:val="af1"/>
    <w:uiPriority w:val="99"/>
    <w:unhideWhenUsed w:val="1"/>
    <w:rsid w:val="00057219"/>
    <w:pPr>
      <w:tabs>
        <w:tab w:val="center" w:pos="4153"/>
        <w:tab w:val="right" w:pos="8306"/>
      </w:tabs>
      <w:spacing w:after="0" w:line="240" w:lineRule="auto"/>
    </w:pPr>
  </w:style>
  <w:style w:type="character" w:styleId="af1" w:customStyle="1">
    <w:name w:val="כותרת תחתונה תו"/>
    <w:basedOn w:val="a0"/>
    <w:link w:val="af0"/>
    <w:uiPriority w:val="99"/>
    <w:rsid w:val="00057219"/>
  </w:style>
  <w:style w:type="table" w:styleId="af2">
    <w:name w:val="Table Grid"/>
    <w:basedOn w:val="a1"/>
    <w:uiPriority w:val="39"/>
    <w:rsid w:val="00C043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a"/>
    <w:uiPriority w:val="99"/>
    <w:semiHidden w:val="1"/>
    <w:unhideWhenUsed w:val="1"/>
    <w:rsid w:val="005E128A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f3">
    <w:name w:val="TOC Heading"/>
    <w:basedOn w:val="1"/>
    <w:next w:val="a"/>
    <w:uiPriority w:val="39"/>
    <w:unhideWhenUsed w:val="1"/>
    <w:qFormat w:val="1"/>
    <w:rsid w:val="00CF6D01"/>
    <w:pPr>
      <w:spacing w:after="0" w:before="240"/>
      <w:outlineLvl w:val="9"/>
    </w:pPr>
    <w:rPr>
      <w:sz w:val="32"/>
      <w:szCs w:val="32"/>
      <w:rtl w:val="1"/>
      <w:cs w:val="1"/>
    </w:rPr>
  </w:style>
  <w:style w:type="paragraph" w:styleId="TOC2">
    <w:name w:val="toc 2"/>
    <w:basedOn w:val="a"/>
    <w:next w:val="a"/>
    <w:autoRedefine w:val="1"/>
    <w:uiPriority w:val="39"/>
    <w:unhideWhenUsed w:val="1"/>
    <w:rsid w:val="00EC00D7"/>
    <w:pPr>
      <w:spacing w:after="100"/>
      <w:ind w:left="220"/>
    </w:pPr>
    <w:rPr>
      <w:rFonts w:cs="Times New Roman" w:eastAsiaTheme="minorEastAsia"/>
      <w:rtl w:val="1"/>
      <w:cs w:val="1"/>
    </w:rPr>
  </w:style>
  <w:style w:type="paragraph" w:styleId="TOC1">
    <w:name w:val="toc 1"/>
    <w:basedOn w:val="a"/>
    <w:next w:val="a"/>
    <w:autoRedefine w:val="1"/>
    <w:uiPriority w:val="39"/>
    <w:unhideWhenUsed w:val="1"/>
    <w:rsid w:val="00EC00D7"/>
    <w:pPr>
      <w:spacing w:after="100"/>
    </w:pPr>
    <w:rPr>
      <w:rFonts w:cs="Times New Roman" w:eastAsiaTheme="minorEastAsia"/>
      <w:rtl w:val="1"/>
      <w:cs w:val="1"/>
    </w:rPr>
  </w:style>
  <w:style w:type="paragraph" w:styleId="TOC3">
    <w:name w:val="toc 3"/>
    <w:basedOn w:val="a"/>
    <w:next w:val="a"/>
    <w:autoRedefine w:val="1"/>
    <w:uiPriority w:val="39"/>
    <w:unhideWhenUsed w:val="1"/>
    <w:rsid w:val="00EC00D7"/>
    <w:pPr>
      <w:spacing w:after="100"/>
      <w:ind w:left="440"/>
    </w:pPr>
    <w:rPr>
      <w:rFonts w:cs="Times New Roman" w:eastAsiaTheme="minorEastAsia"/>
      <w:rtl w:val="1"/>
      <w:cs w:val="1"/>
    </w:rPr>
  </w:style>
  <w:style w:type="character" w:styleId="Hyperlink">
    <w:name w:val="Hyperlink"/>
    <w:basedOn w:val="a0"/>
    <w:uiPriority w:val="99"/>
    <w:unhideWhenUsed w:val="1"/>
    <w:rsid w:val="00EC00D7"/>
    <w:rPr>
      <w:color w:val="467886" w:themeColor="hyperlink"/>
      <w:u w:val="single"/>
    </w:rPr>
  </w:style>
  <w:style w:type="table" w:styleId="3-5">
    <w:name w:val="List Table 3 Accent 5"/>
    <w:basedOn w:val="a1"/>
    <w:uiPriority w:val="48"/>
    <w:rsid w:val="001E4ED3"/>
    <w:pPr>
      <w:spacing w:after="0" w:line="240" w:lineRule="auto"/>
    </w:pPr>
    <w:tblPr>
      <w:tblStyleRowBandSize w:val="1"/>
      <w:tblStyleColBandSize w:val="1"/>
      <w:tblBorders>
        <w:top w:color="a02b93" w:space="0" w:sz="4" w:themeColor="accent5" w:val="single"/>
        <w:left w:color="a02b93" w:space="0" w:sz="4" w:themeColor="accent5" w:val="single"/>
        <w:bottom w:color="a02b93" w:space="0" w:sz="4" w:themeColor="accent5" w:val="single"/>
        <w:right w:color="a02b93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02b93" w:themeFill="accent5" w:val="clear"/>
      </w:tcPr>
    </w:tblStylePr>
    <w:tblStylePr w:type="lastRow">
      <w:rPr>
        <w:b w:val="1"/>
        <w:bCs w:val="1"/>
      </w:rPr>
      <w:tblPr/>
      <w:tcPr>
        <w:tcBorders>
          <w:top w:color="a02b93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02b93" w:space="0" w:sz="4" w:themeColor="accent5" w:val="single"/>
          <w:right w:color="a02b93" w:space="0" w:sz="4" w:themeColor="accent5" w:val="single"/>
        </w:tcBorders>
      </w:tcPr>
    </w:tblStylePr>
    <w:tblStylePr w:type="band1Horz">
      <w:tblPr/>
      <w:tcPr>
        <w:tcBorders>
          <w:top w:color="a02b93" w:space="0" w:sz="4" w:themeColor="accent5" w:val="single"/>
          <w:bottom w:color="a02b93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02b93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a02b93" w:space="0" w:sz="4" w:themeColor="accent5" w:val="double"/>
          <w:right w:space="0" w:sz="0" w:val="nil"/>
        </w:tcBorders>
      </w:tcPr>
    </w:tblStylePr>
  </w:style>
  <w:style w:type="table" w:styleId="3-4">
    <w:name w:val="List Table 3 Accent 4"/>
    <w:basedOn w:val="a1"/>
    <w:uiPriority w:val="48"/>
    <w:rsid w:val="0049755F"/>
    <w:pPr>
      <w:spacing w:after="0" w:line="240" w:lineRule="auto"/>
    </w:pPr>
    <w:tblPr>
      <w:tblStyleRowBandSize w:val="1"/>
      <w:tblStyleColBandSize w:val="1"/>
      <w:tblBorders>
        <w:top w:color="0f9ed5" w:space="0" w:sz="4" w:themeColor="accent4" w:val="single"/>
        <w:left w:color="0f9ed5" w:space="0" w:sz="4" w:themeColor="accent4" w:val="single"/>
        <w:bottom w:color="0f9ed5" w:space="0" w:sz="4" w:themeColor="accent4" w:val="single"/>
        <w:right w:color="0f9ed5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f9ed5" w:themeFill="accent4" w:val="clear"/>
      </w:tcPr>
    </w:tblStylePr>
    <w:tblStylePr w:type="lastRow">
      <w:rPr>
        <w:b w:val="1"/>
        <w:bCs w:val="1"/>
      </w:rPr>
      <w:tblPr/>
      <w:tcPr>
        <w:tcBorders>
          <w:top w:color="0f9ed5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f9ed5" w:space="0" w:sz="4" w:themeColor="accent4" w:val="single"/>
          <w:right w:color="0f9ed5" w:space="0" w:sz="4" w:themeColor="accent4" w:val="single"/>
        </w:tcBorders>
      </w:tcPr>
    </w:tblStylePr>
    <w:tblStylePr w:type="band1Horz">
      <w:tblPr/>
      <w:tcPr>
        <w:tcBorders>
          <w:top w:color="0f9ed5" w:space="0" w:sz="4" w:themeColor="accent4" w:val="single"/>
          <w:bottom w:color="0f9ed5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f9ed5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0f9ed5" w:space="0" w:sz="4" w:themeColor="accent4" w:val="double"/>
          <w:right w:space="0" w:sz="0" w:val="nil"/>
        </w:tcBorders>
      </w:tcPr>
    </w:tblStylePr>
  </w:style>
  <w:style w:type="table" w:styleId="5-4">
    <w:name w:val="Grid Table 5 Dark Accent 4"/>
    <w:basedOn w:val="a1"/>
    <w:uiPriority w:val="50"/>
    <w:rsid w:val="0049755F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aedfb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f9ed5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f9ed5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f9ed5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f9ed5" w:themeFill="accent4" w:val="clear"/>
      </w:tcPr>
    </w:tblStylePr>
    <w:tblStylePr w:type="band1Vert">
      <w:tblPr/>
      <w:tcPr>
        <w:shd w:color="auto" w:fill="95dcf7" w:themeFill="accent4" w:themeFillTint="000066" w:val="clear"/>
      </w:tcPr>
    </w:tblStylePr>
    <w:tblStylePr w:type="band1Horz">
      <w:tblPr/>
      <w:tcPr>
        <w:shd w:color="auto" w:fill="95dcf7" w:themeFill="accent4" w:themeFillTint="000066" w:val="clear"/>
      </w:tcPr>
    </w:tblStylePr>
  </w:style>
  <w:style w:type="table" w:styleId="4-4">
    <w:name w:val="Grid Table 4 Accent 4"/>
    <w:basedOn w:val="a1"/>
    <w:uiPriority w:val="49"/>
    <w:rsid w:val="0049755F"/>
    <w:pPr>
      <w:spacing w:after="0" w:line="240" w:lineRule="auto"/>
    </w:pPr>
    <w:tblPr>
      <w:tblStyleRowBandSize w:val="1"/>
      <w:tblStyleColBandSize w:val="1"/>
      <w:tblBorders>
        <w:top w:color="60caf3" w:space="0" w:sz="4" w:themeColor="accent4" w:themeTint="000099" w:val="single"/>
        <w:left w:color="60caf3" w:space="0" w:sz="4" w:themeColor="accent4" w:themeTint="000099" w:val="single"/>
        <w:bottom w:color="60caf3" w:space="0" w:sz="4" w:themeColor="accent4" w:themeTint="000099" w:val="single"/>
        <w:right w:color="60caf3" w:space="0" w:sz="4" w:themeColor="accent4" w:themeTint="000099" w:val="single"/>
        <w:insideH w:color="60caf3" w:space="0" w:sz="4" w:themeColor="accent4" w:themeTint="000099" w:val="single"/>
        <w:insideV w:color="60caf3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f9ed5" w:space="0" w:sz="4" w:themeColor="accent4" w:val="single"/>
          <w:left w:color="0f9ed5" w:space="0" w:sz="4" w:themeColor="accent4" w:val="single"/>
          <w:bottom w:color="0f9ed5" w:space="0" w:sz="4" w:themeColor="accent4" w:val="single"/>
          <w:right w:color="0f9ed5" w:space="0" w:sz="4" w:themeColor="accent4" w:val="single"/>
          <w:insideH w:space="0" w:sz="0" w:val="nil"/>
          <w:insideV w:space="0" w:sz="0" w:val="nil"/>
        </w:tcBorders>
        <w:shd w:color="auto" w:fill="0f9ed5" w:themeFill="accent4" w:val="clear"/>
      </w:tcPr>
    </w:tblStylePr>
    <w:tblStylePr w:type="lastRow">
      <w:rPr>
        <w:b w:val="1"/>
        <w:bCs w:val="1"/>
      </w:rPr>
      <w:tblPr/>
      <w:tcPr>
        <w:tcBorders>
          <w:top w:color="0f9ed5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aedfb" w:themeFill="accent4" w:themeFillTint="000033" w:val="clear"/>
      </w:tcPr>
    </w:tblStylePr>
    <w:tblStylePr w:type="band1Horz">
      <w:tblPr/>
      <w:tcPr>
        <w:shd w:color="auto" w:fill="caedfb" w:themeFill="accent4" w:themeFillTint="000033" w:val="clear"/>
      </w:tcPr>
    </w:tblStylePr>
  </w:style>
  <w:style w:type="table" w:styleId="4-1">
    <w:name w:val="Grid Table 4 Accent 1"/>
    <w:basedOn w:val="a1"/>
    <w:uiPriority w:val="49"/>
    <w:rsid w:val="0028150B"/>
    <w:pPr>
      <w:spacing w:after="0" w:line="240" w:lineRule="auto"/>
    </w:pPr>
    <w:tblPr>
      <w:tblStyleRowBandSize w:val="1"/>
      <w:tblStyleColBandSize w:val="1"/>
      <w:tblBorders>
        <w:top w:color="45b0e1" w:space="0" w:sz="4" w:themeColor="accent1" w:themeTint="000099" w:val="single"/>
        <w:left w:color="45b0e1" w:space="0" w:sz="4" w:themeColor="accent1" w:themeTint="000099" w:val="single"/>
        <w:bottom w:color="45b0e1" w:space="0" w:sz="4" w:themeColor="accent1" w:themeTint="000099" w:val="single"/>
        <w:right w:color="45b0e1" w:space="0" w:sz="4" w:themeColor="accent1" w:themeTint="000099" w:val="single"/>
        <w:insideH w:color="45b0e1" w:space="0" w:sz="4" w:themeColor="accent1" w:themeTint="000099" w:val="single"/>
        <w:insideV w:color="45b0e1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56082" w:space="0" w:sz="4" w:themeColor="accent1" w:val="single"/>
          <w:left w:color="156082" w:space="0" w:sz="4" w:themeColor="accent1" w:val="single"/>
          <w:bottom w:color="156082" w:space="0" w:sz="4" w:themeColor="accent1" w:val="single"/>
          <w:right w:color="156082" w:space="0" w:sz="4" w:themeColor="accent1" w:val="single"/>
          <w:insideH w:space="0" w:sz="0" w:val="nil"/>
          <w:insideV w:space="0" w:sz="0" w:val="nil"/>
        </w:tcBorders>
        <w:shd w:color="auto" w:fill="156082" w:themeFill="accent1" w:val="clear"/>
      </w:tcPr>
    </w:tblStylePr>
    <w:tblStylePr w:type="lastRow">
      <w:rPr>
        <w:b w:val="1"/>
        <w:bCs w:val="1"/>
      </w:rPr>
      <w:tblPr/>
      <w:tcPr>
        <w:tcBorders>
          <w:top w:color="156082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1e4f5" w:themeFill="accent1" w:themeFillTint="000033" w:val="clear"/>
      </w:tcPr>
    </w:tblStylePr>
    <w:tblStylePr w:type="band1Horz">
      <w:tblPr/>
      <w:tcPr>
        <w:shd w:color="auto" w:fill="c1e4f5" w:themeFill="accent1" w:themeFillTint="000033" w:val="clear"/>
      </w:tcPr>
    </w:tblStylePr>
  </w:style>
  <w:style w:type="table" w:styleId="1-1">
    <w:name w:val="Grid Table 1 Light Accent 1"/>
    <w:basedOn w:val="a1"/>
    <w:uiPriority w:val="46"/>
    <w:rsid w:val="00390EF1"/>
    <w:pPr>
      <w:spacing w:after="0" w:line="240" w:lineRule="auto"/>
    </w:pPr>
    <w:tblPr>
      <w:tblStyleRowBandSize w:val="1"/>
      <w:tblStyleColBandSize w:val="1"/>
      <w:tblBorders>
        <w:top w:color="83caeb" w:space="0" w:sz="4" w:themeColor="accent1" w:themeTint="000066" w:val="single"/>
        <w:left w:color="83caeb" w:space="0" w:sz="4" w:themeColor="accent1" w:themeTint="000066" w:val="single"/>
        <w:bottom w:color="83caeb" w:space="0" w:sz="4" w:themeColor="accent1" w:themeTint="000066" w:val="single"/>
        <w:right w:color="83caeb" w:space="0" w:sz="4" w:themeColor="accent1" w:themeTint="000066" w:val="single"/>
        <w:insideH w:color="83caeb" w:space="0" w:sz="4" w:themeColor="accent1" w:themeTint="000066" w:val="single"/>
        <w:insideV w:color="83caeb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45b0e1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45b0e1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41">
    <w:name w:val="Grid Table 4"/>
    <w:basedOn w:val="a1"/>
    <w:uiPriority w:val="49"/>
    <w:rsid w:val="00BC3327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aedfb" w:val="clear"/>
      </w:tcPr>
    </w:tblStylePr>
    <w:tblStylePr w:type="band1Vert">
      <w:tcPr>
        <w:shd w:fill="caedfb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f9ed5" w:space="0" w:sz="4" w:val="single"/>
          <w:left w:color="0f9ed5" w:space="0" w:sz="4" w:val="single"/>
          <w:bottom w:color="0f9ed5" w:space="0" w:sz="4" w:val="single"/>
          <w:right w:color="0f9ed5" w:space="0" w:sz="4" w:val="single"/>
          <w:insideH w:color="000000" w:space="0" w:sz="0" w:val="nil"/>
          <w:insideV w:color="000000" w:space="0" w:sz="0" w:val="nil"/>
        </w:tcBorders>
        <w:shd w:fill="0f9e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f9ed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aedfb" w:val="clear"/>
      </w:tcPr>
    </w:tblStylePr>
    <w:tblStylePr w:type="band1Vert">
      <w:tcPr>
        <w:shd w:fill="caedfb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f9ed5" w:space="0" w:sz="4" w:val="single"/>
          <w:left w:color="0f9ed5" w:space="0" w:sz="4" w:val="single"/>
          <w:bottom w:color="0f9ed5" w:space="0" w:sz="4" w:val="single"/>
          <w:right w:color="0f9ed5" w:space="0" w:sz="4" w:val="single"/>
          <w:insideH w:color="000000" w:space="0" w:sz="0" w:val="nil"/>
          <w:insideV w:color="000000" w:space="0" w:sz="0" w:val="nil"/>
        </w:tcBorders>
        <w:shd w:fill="0f9e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f9ed5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chart" Target="charts/chart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גיליון1!$B$1</c:f>
              <c:strCache>
                <c:ptCount val="1"/>
                <c:pt idx="0">
                  <c:v>פילוח סיכונים לפי רמת חומרה</c:v>
                </c:pt>
              </c:strCache>
            </c:strRef>
          </c:tx>
          <c:dPt>
            <c:idx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098B-41B9-8E17-A16C498D669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2-098B-41B9-8E17-A16C498D6696}"/>
              </c:ext>
            </c:extLst>
          </c:dPt>
          <c:dPt>
            <c:idx val="2"/>
            <c:bubble3D val="0"/>
            <c:spPr>
              <a:solidFill>
                <a:srgbClr val="FF0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098B-41B9-8E17-A16C498D6696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4-098B-41B9-8E17-A16C498D669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גיליון1!$A$2:$A$5</c:f>
              <c:strCache>
                <c:ptCount val="4"/>
                <c:pt idx="0">
                  <c:v>נמוכה</c:v>
                </c:pt>
                <c:pt idx="1">
                  <c:v>בינונית</c:v>
                </c:pt>
                <c:pt idx="2">
                  <c:v>גבוהה</c:v>
                </c:pt>
                <c:pt idx="3">
                  <c:v>גבוהה מאוד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8B-41B9-8E17-A16C498D6696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Pqy4jso5KDbAX9hhTGrim2P6+w==">CgMxLjAaEgoBMBINCgsIB0IHEgVBcmlhbBoSCgExEg0KCwgHQgcSBUFyaWFsGhIKATISDQoLCAdCBxIFQXJpYWwaEgoBMxINCgsIB0IHEgVBcmlhbBoSCgE0Eg0KCwgHQgcSBUFyaWFsGhIKATUSDQoLCAdCBxIFQXJpYWwaEgoBNhINCgsIB0IHEgVBcmlhbBoSCgE3Eg0KCwgHQgcSBUFyaWFsGhIKATgSDQoLCAdCBxIFQXJpYWwaEgoBORINCgsIB0IHEgVBcmlhbBoTCgIxMBINCgsIB0IHEgVBcmlhbBoTCgIxMRINCgsIB0IHEgVBcmlhbDIIaC5namRneHMyCWguMzBqMHpsbDIJaC4xZm9iOXRlMgloLjN6bnlzaDcyCWguMmV0OTJwMDIIaC50eWpjd3QyCWguM2R5NnZrbTIJaC4xdDNoNXNmOAByITF1OE9icFhMRTNMUTB2YVg5UkRlQ2c3Sm5NSExldlJO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2024-04-05T10:55:00Z</dcterms:created>
  <dc:creator>Nati Yehezkel</dc:creator>
</cp:coreProperties>
</file>