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BFA" w:rsidRDefault="00642BFA" w:rsidP="00642BFA">
      <w:pPr>
        <w:pStyle w:val="3"/>
        <w:adjustRightInd w:val="0"/>
        <w:snapToGrid w:val="0"/>
        <w:spacing w:line="240" w:lineRule="auto"/>
        <w:ind w:left="1021"/>
        <w:rPr>
          <w:rFonts w:ascii="標楷體" w:eastAsia="標楷體" w:hAnsi="標楷體"/>
        </w:rPr>
      </w:pPr>
      <w:bookmarkStart w:id="0" w:name="_GoBack"/>
      <w:bookmarkEnd w:id="0"/>
      <w:r w:rsidRPr="00642BFA">
        <w:rPr>
          <w:rFonts w:ascii="標楷體" w:eastAsia="標楷體" w:hAnsi="標楷體"/>
        </w:rPr>
        <w:t>附表一、維生素或礦物質例句</w:t>
      </w:r>
    </w:p>
    <w:tbl>
      <w:tblPr>
        <w:tblStyle w:val="a5"/>
        <w:tblW w:w="15735" w:type="dxa"/>
        <w:tblInd w:w="-714" w:type="dxa"/>
        <w:tblLook w:val="04A0" w:firstRow="1" w:lastRow="0" w:firstColumn="1" w:lastColumn="0" w:noHBand="0" w:noVBand="1"/>
      </w:tblPr>
      <w:tblGrid>
        <w:gridCol w:w="1135"/>
        <w:gridCol w:w="3118"/>
        <w:gridCol w:w="2410"/>
        <w:gridCol w:w="9072"/>
      </w:tblGrid>
      <w:tr w:rsidR="00243CAA" w:rsidTr="00243CAA">
        <w:trPr>
          <w:tblHeader/>
        </w:trPr>
        <w:tc>
          <w:tcPr>
            <w:tcW w:w="1135" w:type="dxa"/>
            <w:shd w:val="clear" w:color="auto" w:fill="DEEAF6" w:themeFill="accent1" w:themeFillTint="33"/>
          </w:tcPr>
          <w:p w:rsidR="00243CAA" w:rsidRDefault="00243CAA" w:rsidP="00243CAA">
            <w:pPr>
              <w:pStyle w:val="TableParagraph"/>
              <w:adjustRightInd w:val="0"/>
              <w:snapToGrid w:val="0"/>
              <w:spacing w:before="124"/>
              <w:ind w:left="203" w:right="191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t>類</w:t>
            </w:r>
            <w:r>
              <w:rPr>
                <w:rFonts w:ascii="標楷體" w:eastAsia="標楷體" w:hAnsi="標楷體"/>
                <w:b/>
                <w:sz w:val="24"/>
                <w:szCs w:val="24"/>
              </w:rPr>
              <w:t>別</w:t>
            </w:r>
          </w:p>
        </w:tc>
        <w:tc>
          <w:tcPr>
            <w:tcW w:w="14600" w:type="dxa"/>
            <w:gridSpan w:val="3"/>
            <w:shd w:val="clear" w:color="auto" w:fill="DEEAF6" w:themeFill="accent1" w:themeFillTint="33"/>
          </w:tcPr>
          <w:p w:rsidR="00243CAA" w:rsidRPr="00243CAA" w:rsidRDefault="00243CAA" w:rsidP="00243CAA">
            <w:pPr>
              <w:rPr>
                <w:rFonts w:ascii="標楷體" w:eastAsia="標楷體" w:hAnsi="標楷體"/>
              </w:rPr>
            </w:pPr>
            <w:r w:rsidRPr="00243CAA">
              <w:rPr>
                <w:rFonts w:ascii="標楷體" w:eastAsia="標楷體" w:hAnsi="標楷體" w:hint="eastAsia"/>
              </w:rPr>
              <w:t>註</w:t>
            </w:r>
            <w:r w:rsidRPr="00243CAA">
              <w:rPr>
                <w:rFonts w:ascii="標楷體" w:eastAsia="標楷體" w:hAnsi="標楷體"/>
              </w:rPr>
              <w:t>：</w:t>
            </w:r>
            <w:r w:rsidRPr="00243CAA">
              <w:rPr>
                <w:rFonts w:ascii="標楷體" w:eastAsia="標楷體" w:hAnsi="標楷體" w:hint="eastAsia"/>
              </w:rPr>
              <w:t>營養素成分「含量」應符合「包裝食品營養宣稱應遵行事項」及「包裝維生素礦物質類之錠狀膠囊狀食品營養標示應遵行事項」，前開規定未列者，「每日最低攝取量」應達附表一規定以上，方得標示、宣傳或廣告該附表「可敘述之生理功能例句」。</w:t>
            </w:r>
          </w:p>
        </w:tc>
      </w:tr>
      <w:tr w:rsidR="00824D03" w:rsidTr="00824D03">
        <w:tc>
          <w:tcPr>
            <w:tcW w:w="1135" w:type="dxa"/>
            <w:vMerge w:val="restart"/>
          </w:tcPr>
          <w:p w:rsidR="00824D03" w:rsidRPr="00642BFA" w:rsidRDefault="00824D03" w:rsidP="00642BFA">
            <w:pPr>
              <w:pStyle w:val="TableParagraph"/>
              <w:adjustRightInd w:val="0"/>
              <w:snapToGrid w:val="0"/>
              <w:spacing w:before="124"/>
              <w:ind w:left="203" w:right="191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t>食品</w:t>
            </w:r>
          </w:p>
        </w:tc>
        <w:tc>
          <w:tcPr>
            <w:tcW w:w="3118" w:type="dxa"/>
          </w:tcPr>
          <w:p w:rsidR="00824D03" w:rsidRPr="00642BFA" w:rsidRDefault="00824D03" w:rsidP="00642BFA">
            <w:pPr>
              <w:pStyle w:val="TableParagraph"/>
              <w:adjustRightInd w:val="0"/>
              <w:snapToGrid w:val="0"/>
              <w:spacing w:before="124"/>
              <w:ind w:left="203" w:right="191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642BFA">
              <w:rPr>
                <w:rFonts w:ascii="標楷體" w:eastAsia="標楷體" w:hAnsi="標楷體" w:hint="eastAsia"/>
                <w:b/>
                <w:sz w:val="24"/>
                <w:szCs w:val="24"/>
              </w:rPr>
              <w:t>營養素成分</w:t>
            </w:r>
          </w:p>
        </w:tc>
        <w:tc>
          <w:tcPr>
            <w:tcW w:w="2410" w:type="dxa"/>
          </w:tcPr>
          <w:p w:rsidR="00824D03" w:rsidRPr="00642BFA" w:rsidRDefault="00824D03" w:rsidP="00642BFA">
            <w:pPr>
              <w:pStyle w:val="TableParagraph"/>
              <w:adjustRightInd w:val="0"/>
              <w:snapToGrid w:val="0"/>
              <w:spacing w:before="124"/>
              <w:ind w:left="203" w:right="191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642BFA">
              <w:rPr>
                <w:rFonts w:ascii="標楷體" w:eastAsia="標楷體" w:hAnsi="標楷體" w:hint="eastAsia"/>
                <w:b/>
                <w:sz w:val="24"/>
                <w:szCs w:val="24"/>
              </w:rPr>
              <w:t>每日最低攝取量</w:t>
            </w:r>
          </w:p>
        </w:tc>
        <w:tc>
          <w:tcPr>
            <w:tcW w:w="9072" w:type="dxa"/>
          </w:tcPr>
          <w:p w:rsidR="00824D03" w:rsidRPr="00642BFA" w:rsidRDefault="00824D03" w:rsidP="00642BFA">
            <w:pPr>
              <w:pStyle w:val="TableParagraph"/>
              <w:adjustRightInd w:val="0"/>
              <w:snapToGrid w:val="0"/>
              <w:spacing w:before="124"/>
              <w:ind w:left="851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642BFA">
              <w:rPr>
                <w:rFonts w:ascii="標楷體" w:eastAsia="標楷體" w:hAnsi="標楷體" w:hint="eastAsia"/>
                <w:b/>
                <w:sz w:val="24"/>
                <w:szCs w:val="24"/>
              </w:rPr>
              <w:t>可敘述之生理功能例句</w:t>
            </w:r>
          </w:p>
        </w:tc>
      </w:tr>
      <w:tr w:rsidR="00824D03" w:rsidTr="00824D03">
        <w:tc>
          <w:tcPr>
            <w:tcW w:w="1135" w:type="dxa"/>
            <w:vMerge/>
          </w:tcPr>
          <w:p w:rsidR="00824D03" w:rsidRPr="00642BFA" w:rsidRDefault="00824D03" w:rsidP="00642BFA">
            <w:pPr>
              <w:pStyle w:val="TableParagraph"/>
              <w:adjustRightInd w:val="0"/>
              <w:snapToGrid w:val="0"/>
              <w:spacing w:before="197"/>
              <w:ind w:left="216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3118" w:type="dxa"/>
          </w:tcPr>
          <w:p w:rsidR="00824D03" w:rsidRPr="00642BFA" w:rsidRDefault="00824D03" w:rsidP="00642BFA">
            <w:pPr>
              <w:pStyle w:val="TableParagraph"/>
              <w:adjustRightInd w:val="0"/>
              <w:snapToGrid w:val="0"/>
              <w:spacing w:before="197"/>
              <w:ind w:left="216"/>
              <w:rPr>
                <w:rFonts w:ascii="標楷體" w:eastAsia="標楷體" w:hAnsi="標楷體"/>
                <w:sz w:val="24"/>
                <w:szCs w:val="24"/>
              </w:rPr>
            </w:pPr>
            <w:r w:rsidRPr="00642BFA">
              <w:rPr>
                <w:rFonts w:ascii="標楷體" w:eastAsia="標楷體" w:hAnsi="標楷體"/>
                <w:sz w:val="24"/>
                <w:szCs w:val="24"/>
              </w:rPr>
              <w:t>維生素 A 或β-胡蘿蔔素</w:t>
            </w:r>
          </w:p>
        </w:tc>
        <w:tc>
          <w:tcPr>
            <w:tcW w:w="2410" w:type="dxa"/>
          </w:tcPr>
          <w:p w:rsidR="00824D03" w:rsidRPr="00642BFA" w:rsidRDefault="00824D03" w:rsidP="00642BFA">
            <w:pPr>
              <w:pStyle w:val="TableParagraph"/>
              <w:adjustRightInd w:val="0"/>
              <w:snapToGrid w:val="0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9072" w:type="dxa"/>
          </w:tcPr>
          <w:p w:rsidR="00824D03" w:rsidRPr="00642BFA" w:rsidRDefault="00824D03" w:rsidP="00824D03">
            <w:pPr>
              <w:pStyle w:val="TableParagraph"/>
              <w:adjustRightInd w:val="0"/>
              <w:snapToGrid w:val="0"/>
              <w:spacing w:before="36"/>
              <w:ind w:leftChars="-15" w:left="1" w:hangingChars="14" w:hanging="34"/>
              <w:rPr>
                <w:rFonts w:ascii="標楷體" w:eastAsia="標楷體" w:hAnsi="標楷體"/>
                <w:sz w:val="24"/>
                <w:szCs w:val="24"/>
              </w:rPr>
            </w:pPr>
            <w:r w:rsidRPr="00642BFA">
              <w:rPr>
                <w:rFonts w:ascii="標楷體" w:eastAsia="標楷體" w:hAnsi="標楷體"/>
                <w:sz w:val="24"/>
                <w:szCs w:val="24"/>
              </w:rPr>
              <w:t>有助於維持在暗處的視覺。增進皮膚與黏膜的健康。幫助牙齒和骨骼的發育與生長。</w:t>
            </w:r>
          </w:p>
        </w:tc>
      </w:tr>
      <w:tr w:rsidR="00824D03" w:rsidTr="00824D03">
        <w:tc>
          <w:tcPr>
            <w:tcW w:w="1135" w:type="dxa"/>
            <w:vMerge/>
          </w:tcPr>
          <w:p w:rsidR="00824D03" w:rsidRPr="00642BFA" w:rsidRDefault="00824D03" w:rsidP="00642BFA">
            <w:pPr>
              <w:pStyle w:val="TableParagraph"/>
              <w:adjustRightInd w:val="0"/>
              <w:snapToGrid w:val="0"/>
              <w:ind w:left="203" w:right="188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3118" w:type="dxa"/>
          </w:tcPr>
          <w:p w:rsidR="00824D03" w:rsidRPr="00642BFA" w:rsidRDefault="00824D03" w:rsidP="00642BFA">
            <w:pPr>
              <w:pStyle w:val="TableParagraph"/>
              <w:adjustRightInd w:val="0"/>
              <w:snapToGrid w:val="0"/>
              <w:ind w:left="203" w:right="188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642BFA">
              <w:rPr>
                <w:rFonts w:ascii="標楷體" w:eastAsia="標楷體" w:hAnsi="標楷體"/>
                <w:sz w:val="24"/>
                <w:szCs w:val="24"/>
              </w:rPr>
              <w:t>維生素 D</w:t>
            </w:r>
          </w:p>
        </w:tc>
        <w:tc>
          <w:tcPr>
            <w:tcW w:w="2410" w:type="dxa"/>
          </w:tcPr>
          <w:p w:rsidR="00824D03" w:rsidRPr="00642BFA" w:rsidRDefault="00824D03" w:rsidP="00642BFA">
            <w:pPr>
              <w:pStyle w:val="TableParagraph"/>
              <w:adjustRightInd w:val="0"/>
              <w:snapToGrid w:val="0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9072" w:type="dxa"/>
          </w:tcPr>
          <w:p w:rsidR="00824D03" w:rsidRPr="00642BFA" w:rsidRDefault="00824D03" w:rsidP="00824D03">
            <w:pPr>
              <w:pStyle w:val="TableParagraph"/>
              <w:adjustRightInd w:val="0"/>
              <w:snapToGrid w:val="0"/>
              <w:spacing w:before="10" w:line="249" w:lineRule="auto"/>
              <w:ind w:leftChars="-15" w:left="1" w:right="44" w:hangingChars="14" w:hanging="34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642BFA">
              <w:rPr>
                <w:rFonts w:ascii="標楷體" w:eastAsia="標楷體" w:hAnsi="標楷體"/>
                <w:sz w:val="24"/>
                <w:szCs w:val="24"/>
              </w:rPr>
              <w:t>增進鈣吸收。幫助骨骼與牙齒的生長發育。促進釋放骨鈣，以維持血鈣平衡。有助於維持神經、肌肉的正常生理。</w:t>
            </w:r>
          </w:p>
        </w:tc>
      </w:tr>
      <w:tr w:rsidR="00824D03" w:rsidTr="00824D03">
        <w:tc>
          <w:tcPr>
            <w:tcW w:w="1135" w:type="dxa"/>
            <w:vMerge/>
          </w:tcPr>
          <w:p w:rsidR="00824D03" w:rsidRPr="00642BFA" w:rsidRDefault="00824D03" w:rsidP="00642BFA">
            <w:pPr>
              <w:pStyle w:val="TableParagraph"/>
              <w:adjustRightInd w:val="0"/>
              <w:snapToGrid w:val="0"/>
              <w:ind w:left="203" w:right="188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3118" w:type="dxa"/>
          </w:tcPr>
          <w:p w:rsidR="00824D03" w:rsidRPr="00642BFA" w:rsidRDefault="00824D03" w:rsidP="00642BFA">
            <w:pPr>
              <w:pStyle w:val="TableParagraph"/>
              <w:adjustRightInd w:val="0"/>
              <w:snapToGrid w:val="0"/>
              <w:ind w:left="203" w:right="188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642BFA">
              <w:rPr>
                <w:rFonts w:ascii="標楷體" w:eastAsia="標楷體" w:hAnsi="標楷體"/>
                <w:sz w:val="24"/>
                <w:szCs w:val="24"/>
              </w:rPr>
              <w:t>維生素 E</w:t>
            </w:r>
          </w:p>
        </w:tc>
        <w:tc>
          <w:tcPr>
            <w:tcW w:w="2410" w:type="dxa"/>
          </w:tcPr>
          <w:p w:rsidR="00824D03" w:rsidRPr="00642BFA" w:rsidRDefault="00824D03" w:rsidP="00642BFA">
            <w:pPr>
              <w:pStyle w:val="TableParagraph"/>
              <w:adjustRightInd w:val="0"/>
              <w:snapToGrid w:val="0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9072" w:type="dxa"/>
          </w:tcPr>
          <w:p w:rsidR="00824D03" w:rsidRPr="00642BFA" w:rsidRDefault="00824D03" w:rsidP="00824D03">
            <w:pPr>
              <w:pStyle w:val="TableParagraph"/>
              <w:adjustRightInd w:val="0"/>
              <w:snapToGrid w:val="0"/>
              <w:spacing w:before="36" w:line="249" w:lineRule="auto"/>
              <w:ind w:leftChars="-15" w:left="-2" w:right="92" w:hangingChars="14" w:hanging="31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642BFA">
              <w:rPr>
                <w:rFonts w:ascii="標楷體" w:eastAsia="標楷體" w:hAnsi="標楷體"/>
                <w:spacing w:val="-8"/>
                <w:sz w:val="24"/>
                <w:szCs w:val="24"/>
              </w:rPr>
              <w:t>減少不飽和脂肪酸的氧化。有助於維持</w:t>
            </w:r>
            <w:r w:rsidRPr="00642BFA">
              <w:rPr>
                <w:rFonts w:ascii="標楷體" w:eastAsia="標楷體" w:hAnsi="標楷體"/>
                <w:spacing w:val="-11"/>
                <w:sz w:val="24"/>
                <w:szCs w:val="24"/>
              </w:rPr>
              <w:t>細胞膜的完整性。</w:t>
            </w:r>
            <w:r w:rsidRPr="00824D03">
              <w:rPr>
                <w:rFonts w:ascii="標楷體" w:eastAsia="標楷體" w:hAnsi="標楷體"/>
                <w:b/>
                <w:spacing w:val="-11"/>
                <w:sz w:val="24"/>
                <w:szCs w:val="24"/>
                <w:u w:val="single"/>
              </w:rPr>
              <w:t>具抗氧化作用。</w:t>
            </w:r>
            <w:r w:rsidRPr="00642BFA">
              <w:rPr>
                <w:rFonts w:ascii="標楷體" w:eastAsia="標楷體" w:hAnsi="標楷體"/>
                <w:spacing w:val="-11"/>
                <w:sz w:val="24"/>
                <w:szCs w:val="24"/>
              </w:rPr>
              <w:t>增進</w:t>
            </w:r>
            <w:r w:rsidRPr="00642BFA">
              <w:rPr>
                <w:rFonts w:ascii="標楷體" w:eastAsia="標楷體" w:hAnsi="標楷體"/>
                <w:spacing w:val="-10"/>
                <w:sz w:val="24"/>
                <w:szCs w:val="24"/>
              </w:rPr>
              <w:t>皮膚與血球的健康。</w:t>
            </w:r>
            <w:r w:rsidRPr="00642BFA">
              <w:rPr>
                <w:rFonts w:ascii="標楷體" w:eastAsia="標楷體" w:hAnsi="標楷體"/>
                <w:b/>
                <w:spacing w:val="-10"/>
                <w:sz w:val="24"/>
                <w:szCs w:val="24"/>
                <w:u w:val="single"/>
              </w:rPr>
              <w:t>有助於減少自由基</w:t>
            </w:r>
            <w:r w:rsidRPr="00642BFA">
              <w:rPr>
                <w:rFonts w:ascii="標楷體" w:eastAsia="標楷體" w:hAnsi="標楷體"/>
                <w:b/>
                <w:sz w:val="24"/>
                <w:szCs w:val="24"/>
                <w:u w:val="single"/>
              </w:rPr>
              <w:t>的產生</w:t>
            </w:r>
            <w:r w:rsidRPr="00642BFA">
              <w:rPr>
                <w:rFonts w:ascii="標楷體" w:eastAsia="標楷體" w:hAnsi="標楷體"/>
                <w:sz w:val="24"/>
                <w:szCs w:val="24"/>
              </w:rPr>
              <w:t>。</w:t>
            </w:r>
          </w:p>
        </w:tc>
      </w:tr>
      <w:tr w:rsidR="00824D03" w:rsidTr="00824D03">
        <w:tc>
          <w:tcPr>
            <w:tcW w:w="1135" w:type="dxa"/>
            <w:vMerge/>
          </w:tcPr>
          <w:p w:rsidR="00824D03" w:rsidRPr="00642BFA" w:rsidRDefault="00824D03" w:rsidP="00642BFA">
            <w:pPr>
              <w:pStyle w:val="TableParagraph"/>
              <w:adjustRightInd w:val="0"/>
              <w:snapToGrid w:val="0"/>
              <w:ind w:left="203" w:right="19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3118" w:type="dxa"/>
          </w:tcPr>
          <w:p w:rsidR="00824D03" w:rsidRPr="00642BFA" w:rsidRDefault="00824D03" w:rsidP="00642BFA">
            <w:pPr>
              <w:pStyle w:val="TableParagraph"/>
              <w:adjustRightInd w:val="0"/>
              <w:snapToGrid w:val="0"/>
              <w:ind w:left="203" w:right="19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642BFA">
              <w:rPr>
                <w:rFonts w:ascii="標楷體" w:eastAsia="標楷體" w:hAnsi="標楷體"/>
                <w:sz w:val="24"/>
                <w:szCs w:val="24"/>
              </w:rPr>
              <w:t>維生素K</w:t>
            </w:r>
          </w:p>
        </w:tc>
        <w:tc>
          <w:tcPr>
            <w:tcW w:w="2410" w:type="dxa"/>
          </w:tcPr>
          <w:p w:rsidR="00824D03" w:rsidRPr="00642BFA" w:rsidRDefault="00824D03" w:rsidP="00642BFA">
            <w:pPr>
              <w:pStyle w:val="TableParagraph"/>
              <w:adjustRightInd w:val="0"/>
              <w:snapToGrid w:val="0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9072" w:type="dxa"/>
          </w:tcPr>
          <w:p w:rsidR="00824D03" w:rsidRPr="00642BFA" w:rsidRDefault="00824D03" w:rsidP="00824D03">
            <w:pPr>
              <w:pStyle w:val="TableParagraph"/>
              <w:adjustRightInd w:val="0"/>
              <w:snapToGrid w:val="0"/>
              <w:spacing w:before="36"/>
              <w:ind w:leftChars="-15" w:left="1" w:hangingChars="14" w:hanging="34"/>
              <w:rPr>
                <w:rFonts w:ascii="標楷體" w:eastAsia="標楷體" w:hAnsi="標楷體"/>
                <w:sz w:val="24"/>
                <w:szCs w:val="24"/>
              </w:rPr>
            </w:pPr>
            <w:r w:rsidRPr="00642BFA">
              <w:rPr>
                <w:rFonts w:ascii="標楷體" w:eastAsia="標楷體" w:hAnsi="標楷體"/>
                <w:sz w:val="24"/>
                <w:szCs w:val="24"/>
              </w:rPr>
              <w:t>有助血液正常的凝固功能。促進骨質的鈣化。活化肝臟與血液中的凝血蛋白質。</w:t>
            </w:r>
          </w:p>
        </w:tc>
      </w:tr>
      <w:tr w:rsidR="00824D03" w:rsidTr="00824D03">
        <w:tc>
          <w:tcPr>
            <w:tcW w:w="1135" w:type="dxa"/>
            <w:vMerge/>
          </w:tcPr>
          <w:p w:rsidR="00824D03" w:rsidRPr="00642BFA" w:rsidRDefault="00824D03" w:rsidP="00642BFA">
            <w:pPr>
              <w:pStyle w:val="TableParagraph"/>
              <w:adjustRightInd w:val="0"/>
              <w:snapToGrid w:val="0"/>
              <w:spacing w:before="215"/>
              <w:ind w:left="203" w:right="19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3118" w:type="dxa"/>
          </w:tcPr>
          <w:p w:rsidR="00824D03" w:rsidRPr="00642BFA" w:rsidRDefault="00824D03" w:rsidP="00642BFA">
            <w:pPr>
              <w:pStyle w:val="TableParagraph"/>
              <w:adjustRightInd w:val="0"/>
              <w:snapToGrid w:val="0"/>
              <w:spacing w:before="215"/>
              <w:ind w:left="203" w:right="19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642BFA">
              <w:rPr>
                <w:rFonts w:ascii="標楷體" w:eastAsia="標楷體" w:hAnsi="標楷體"/>
                <w:sz w:val="24"/>
                <w:szCs w:val="24"/>
              </w:rPr>
              <w:t>維生素 C</w:t>
            </w:r>
          </w:p>
        </w:tc>
        <w:tc>
          <w:tcPr>
            <w:tcW w:w="2410" w:type="dxa"/>
          </w:tcPr>
          <w:p w:rsidR="00824D03" w:rsidRPr="00642BFA" w:rsidRDefault="00824D03" w:rsidP="00642BFA">
            <w:pPr>
              <w:pStyle w:val="TableParagraph"/>
              <w:adjustRightInd w:val="0"/>
              <w:snapToGrid w:val="0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9072" w:type="dxa"/>
          </w:tcPr>
          <w:p w:rsidR="00824D03" w:rsidRPr="00642BFA" w:rsidRDefault="00824D03" w:rsidP="00824D03">
            <w:pPr>
              <w:pStyle w:val="TableParagraph"/>
              <w:adjustRightInd w:val="0"/>
              <w:snapToGrid w:val="0"/>
              <w:spacing w:before="11" w:line="249" w:lineRule="auto"/>
              <w:ind w:leftChars="-15" w:right="44" w:hangingChars="14" w:hanging="33"/>
              <w:rPr>
                <w:rFonts w:ascii="標楷體" w:eastAsia="標楷體" w:hAnsi="標楷體"/>
                <w:sz w:val="24"/>
                <w:szCs w:val="24"/>
              </w:rPr>
            </w:pPr>
            <w:r w:rsidRPr="00642BFA">
              <w:rPr>
                <w:rFonts w:ascii="標楷體" w:eastAsia="標楷體" w:hAnsi="標楷體"/>
                <w:spacing w:val="-3"/>
                <w:sz w:val="24"/>
                <w:szCs w:val="24"/>
              </w:rPr>
              <w:t>促進膠原蛋白的形成，有助於傷口癒</w:t>
            </w:r>
            <w:r w:rsidRPr="00642BFA">
              <w:rPr>
                <w:rFonts w:ascii="標楷體" w:eastAsia="標楷體" w:hAnsi="標楷體"/>
                <w:spacing w:val="-8"/>
                <w:sz w:val="24"/>
                <w:szCs w:val="24"/>
              </w:rPr>
              <w:t>合。有助於維持細胞排列的緊密性。增</w:t>
            </w:r>
            <w:r w:rsidRPr="00642BFA">
              <w:rPr>
                <w:rFonts w:ascii="標楷體" w:eastAsia="標楷體" w:hAnsi="標楷體"/>
                <w:spacing w:val="-6"/>
                <w:sz w:val="24"/>
                <w:szCs w:val="24"/>
              </w:rPr>
              <w:t>進體內結締組織、骨骼及牙齒的生長。</w:t>
            </w:r>
            <w:r w:rsidRPr="00642BFA">
              <w:rPr>
                <w:rFonts w:ascii="標楷體" w:eastAsia="標楷體" w:hAnsi="標楷體"/>
                <w:sz w:val="24"/>
                <w:szCs w:val="24"/>
              </w:rPr>
              <w:t>促進鐵的吸收。</w:t>
            </w:r>
            <w:r w:rsidRPr="00824D03">
              <w:rPr>
                <w:rFonts w:ascii="標楷體" w:eastAsia="標楷體" w:hAnsi="標楷體"/>
                <w:b/>
                <w:sz w:val="24"/>
                <w:szCs w:val="24"/>
                <w:u w:val="single"/>
              </w:rPr>
              <w:t>具抗氧化作用。</w:t>
            </w:r>
          </w:p>
        </w:tc>
      </w:tr>
      <w:tr w:rsidR="00824D03" w:rsidTr="00824D03">
        <w:tc>
          <w:tcPr>
            <w:tcW w:w="1135" w:type="dxa"/>
            <w:vMerge/>
          </w:tcPr>
          <w:p w:rsidR="00824D03" w:rsidRPr="00642BFA" w:rsidRDefault="00824D03" w:rsidP="00642BFA">
            <w:pPr>
              <w:pStyle w:val="TableParagraph"/>
              <w:adjustRightInd w:val="0"/>
              <w:snapToGrid w:val="0"/>
              <w:spacing w:before="1"/>
              <w:ind w:left="202" w:right="19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3118" w:type="dxa"/>
          </w:tcPr>
          <w:p w:rsidR="00824D03" w:rsidRPr="00642BFA" w:rsidRDefault="00824D03" w:rsidP="00642BFA">
            <w:pPr>
              <w:pStyle w:val="TableParagraph"/>
              <w:adjustRightInd w:val="0"/>
              <w:snapToGrid w:val="0"/>
              <w:spacing w:before="1"/>
              <w:ind w:left="202" w:right="19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642BFA">
              <w:rPr>
                <w:rFonts w:ascii="標楷體" w:eastAsia="標楷體" w:hAnsi="標楷體"/>
                <w:sz w:val="24"/>
                <w:szCs w:val="24"/>
              </w:rPr>
              <w:t>維生素 B1</w:t>
            </w:r>
          </w:p>
        </w:tc>
        <w:tc>
          <w:tcPr>
            <w:tcW w:w="2410" w:type="dxa"/>
          </w:tcPr>
          <w:p w:rsidR="00824D03" w:rsidRPr="00642BFA" w:rsidRDefault="00824D03" w:rsidP="00642BFA">
            <w:pPr>
              <w:pStyle w:val="TableParagraph"/>
              <w:adjustRightInd w:val="0"/>
              <w:snapToGrid w:val="0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9072" w:type="dxa"/>
          </w:tcPr>
          <w:p w:rsidR="00824D03" w:rsidRPr="00642BFA" w:rsidRDefault="00824D03" w:rsidP="00824D03">
            <w:pPr>
              <w:pStyle w:val="TableParagraph"/>
              <w:adjustRightInd w:val="0"/>
              <w:snapToGrid w:val="0"/>
              <w:spacing w:before="36" w:line="249" w:lineRule="auto"/>
              <w:ind w:leftChars="-15" w:left="1" w:right="30" w:hangingChars="14" w:hanging="34"/>
              <w:rPr>
                <w:rFonts w:ascii="標楷體" w:eastAsia="標楷體" w:hAnsi="標楷體"/>
                <w:sz w:val="24"/>
                <w:szCs w:val="24"/>
              </w:rPr>
            </w:pPr>
            <w:r w:rsidRPr="00642BFA">
              <w:rPr>
                <w:rFonts w:ascii="標楷體" w:eastAsia="標楷體" w:hAnsi="標楷體"/>
                <w:sz w:val="24"/>
                <w:szCs w:val="24"/>
              </w:rPr>
              <w:t>有助於維持能量正常代謝。幫助維持皮膚、心臟及神經系統的正常功能。有助於維持正常的食慾。</w:t>
            </w:r>
          </w:p>
        </w:tc>
      </w:tr>
      <w:tr w:rsidR="00824D03" w:rsidTr="00824D03">
        <w:tc>
          <w:tcPr>
            <w:tcW w:w="1135" w:type="dxa"/>
            <w:vMerge/>
          </w:tcPr>
          <w:p w:rsidR="00824D03" w:rsidRPr="00642BFA" w:rsidRDefault="00824D03" w:rsidP="00824D03">
            <w:pPr>
              <w:pStyle w:val="TableParagraph"/>
              <w:adjustRightInd w:val="0"/>
              <w:snapToGrid w:val="0"/>
              <w:ind w:left="203" w:right="188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3118" w:type="dxa"/>
          </w:tcPr>
          <w:p w:rsidR="00824D03" w:rsidRPr="00824D03" w:rsidRDefault="00824D03" w:rsidP="00824D03">
            <w:pPr>
              <w:pStyle w:val="TableParagraph"/>
              <w:adjustRightInd w:val="0"/>
              <w:snapToGrid w:val="0"/>
              <w:spacing w:before="1"/>
              <w:ind w:left="202" w:right="19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維生素 B2</w:t>
            </w:r>
          </w:p>
        </w:tc>
        <w:tc>
          <w:tcPr>
            <w:tcW w:w="2410" w:type="dxa"/>
          </w:tcPr>
          <w:p w:rsidR="00824D03" w:rsidRPr="00824D03" w:rsidRDefault="00824D03" w:rsidP="00824D03">
            <w:pPr>
              <w:pStyle w:val="TableParagraph"/>
              <w:adjustRightInd w:val="0"/>
              <w:snapToGrid w:val="0"/>
              <w:spacing w:before="1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9072" w:type="dxa"/>
          </w:tcPr>
          <w:p w:rsidR="00824D03" w:rsidRPr="00824D03" w:rsidRDefault="00824D03" w:rsidP="00824D03">
            <w:pPr>
              <w:pStyle w:val="TableParagraph"/>
              <w:adjustRightInd w:val="0"/>
              <w:snapToGrid w:val="0"/>
              <w:spacing w:before="1" w:line="320" w:lineRule="atLeast"/>
              <w:ind w:leftChars="-15" w:left="1" w:right="32" w:hangingChars="14" w:hanging="34"/>
              <w:rPr>
                <w:rFonts w:ascii="標楷體" w:eastAsia="標楷體" w:hAnsi="標楷體"/>
                <w:b/>
                <w:sz w:val="24"/>
                <w:szCs w:val="24"/>
                <w:u w:val="single"/>
              </w:rPr>
            </w:pPr>
            <w:r w:rsidRPr="00824D03">
              <w:rPr>
                <w:rFonts w:ascii="標楷體" w:eastAsia="標楷體" w:hAnsi="標楷體"/>
                <w:b/>
                <w:sz w:val="24"/>
                <w:szCs w:val="24"/>
                <w:u w:val="single"/>
              </w:rPr>
              <w:t>有助於維持能量正常代謝。有助於維持皮膚的健康。</w:t>
            </w:r>
          </w:p>
        </w:tc>
      </w:tr>
      <w:tr w:rsidR="00824D03" w:rsidTr="00824D03">
        <w:tc>
          <w:tcPr>
            <w:tcW w:w="1135" w:type="dxa"/>
            <w:vMerge/>
          </w:tcPr>
          <w:p w:rsidR="00824D03" w:rsidRPr="00642BFA" w:rsidRDefault="00824D03" w:rsidP="00824D03">
            <w:pPr>
              <w:pStyle w:val="TableParagraph"/>
              <w:adjustRightInd w:val="0"/>
              <w:snapToGrid w:val="0"/>
              <w:ind w:left="203" w:right="188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3118" w:type="dxa"/>
          </w:tcPr>
          <w:p w:rsidR="00824D03" w:rsidRPr="00824D03" w:rsidRDefault="00824D03" w:rsidP="00824D03">
            <w:pPr>
              <w:pStyle w:val="TableParagraph"/>
              <w:adjustRightInd w:val="0"/>
              <w:snapToGrid w:val="0"/>
              <w:spacing w:before="1"/>
              <w:ind w:left="202" w:right="19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菸鹼素</w:t>
            </w:r>
          </w:p>
        </w:tc>
        <w:tc>
          <w:tcPr>
            <w:tcW w:w="2410" w:type="dxa"/>
          </w:tcPr>
          <w:p w:rsidR="00824D03" w:rsidRPr="00824D03" w:rsidRDefault="00824D03" w:rsidP="00824D03">
            <w:pPr>
              <w:pStyle w:val="TableParagraph"/>
              <w:adjustRightInd w:val="0"/>
              <w:snapToGrid w:val="0"/>
              <w:spacing w:before="1"/>
              <w:ind w:left="202" w:right="19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9072" w:type="dxa"/>
          </w:tcPr>
          <w:p w:rsidR="00824D03" w:rsidRPr="00824D03" w:rsidRDefault="00824D03" w:rsidP="00824D03">
            <w:pPr>
              <w:pStyle w:val="TableParagraph"/>
              <w:adjustRightInd w:val="0"/>
              <w:snapToGrid w:val="0"/>
              <w:spacing w:before="1" w:line="249" w:lineRule="auto"/>
              <w:ind w:leftChars="-15" w:left="1" w:right="191" w:hangingChars="14" w:hanging="34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有助於維持能量正常代謝。增進皮膚、神經系統、黏膜及消化系統的健康。</w:t>
            </w:r>
          </w:p>
        </w:tc>
      </w:tr>
      <w:tr w:rsidR="00824D03" w:rsidTr="00824D03">
        <w:tc>
          <w:tcPr>
            <w:tcW w:w="1135" w:type="dxa"/>
            <w:vMerge/>
          </w:tcPr>
          <w:p w:rsidR="00824D03" w:rsidRPr="00642BFA" w:rsidRDefault="00824D03" w:rsidP="00824D03">
            <w:pPr>
              <w:pStyle w:val="TableParagraph"/>
              <w:adjustRightInd w:val="0"/>
              <w:snapToGrid w:val="0"/>
              <w:ind w:left="203" w:right="188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3118" w:type="dxa"/>
          </w:tcPr>
          <w:p w:rsidR="00824D03" w:rsidRPr="00824D03" w:rsidRDefault="00824D03" w:rsidP="00824D03">
            <w:pPr>
              <w:pStyle w:val="TableParagraph"/>
              <w:ind w:left="202" w:right="19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維生素 B6</w:t>
            </w:r>
          </w:p>
        </w:tc>
        <w:tc>
          <w:tcPr>
            <w:tcW w:w="2410" w:type="dxa"/>
          </w:tcPr>
          <w:p w:rsidR="00824D03" w:rsidRPr="00824D03" w:rsidRDefault="00824D03" w:rsidP="00824D03">
            <w:pPr>
              <w:pStyle w:val="TableParagraph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9072" w:type="dxa"/>
          </w:tcPr>
          <w:p w:rsidR="00824D03" w:rsidRPr="00824D03" w:rsidRDefault="00824D03" w:rsidP="00824D03">
            <w:pPr>
              <w:pStyle w:val="TableParagraph"/>
              <w:spacing w:before="36" w:line="249" w:lineRule="auto"/>
              <w:ind w:left="34" w:right="44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有助於維持胺基酸正常代謝。有助於紅血球中紫質的形成。幫助色胺酸轉變成菸鹼素。有助於紅血球維持正常型態。增進神經系統的健康。</w:t>
            </w:r>
          </w:p>
        </w:tc>
      </w:tr>
      <w:tr w:rsidR="00824D03" w:rsidTr="00824D03">
        <w:tc>
          <w:tcPr>
            <w:tcW w:w="1135" w:type="dxa"/>
            <w:vMerge/>
          </w:tcPr>
          <w:p w:rsidR="00824D03" w:rsidRPr="00642BFA" w:rsidRDefault="00824D03" w:rsidP="00824D03">
            <w:pPr>
              <w:pStyle w:val="TableParagraph"/>
              <w:adjustRightInd w:val="0"/>
              <w:snapToGrid w:val="0"/>
              <w:ind w:left="203" w:right="188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3118" w:type="dxa"/>
          </w:tcPr>
          <w:p w:rsidR="00824D03" w:rsidRPr="00824D03" w:rsidRDefault="00824D03" w:rsidP="00824D03">
            <w:pPr>
              <w:pStyle w:val="TableParagraph"/>
              <w:spacing w:before="1"/>
              <w:ind w:left="203" w:right="19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葉酸</w:t>
            </w:r>
          </w:p>
        </w:tc>
        <w:tc>
          <w:tcPr>
            <w:tcW w:w="2410" w:type="dxa"/>
          </w:tcPr>
          <w:p w:rsidR="00824D03" w:rsidRPr="00824D03" w:rsidRDefault="00824D03" w:rsidP="00824D03">
            <w:pPr>
              <w:pStyle w:val="TableParagraph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9072" w:type="dxa"/>
          </w:tcPr>
          <w:p w:rsidR="00824D03" w:rsidRPr="00824D03" w:rsidRDefault="00824D03" w:rsidP="00824D03">
            <w:pPr>
              <w:pStyle w:val="TableParagraph"/>
              <w:spacing w:before="36" w:line="249" w:lineRule="auto"/>
              <w:ind w:left="34" w:right="31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有助於紅血球的形成。有助於核酸與核蛋白的形成。有助胎兒的正常發育與生長。</w:t>
            </w:r>
          </w:p>
        </w:tc>
      </w:tr>
      <w:tr w:rsidR="00824D03" w:rsidTr="00824D03">
        <w:tc>
          <w:tcPr>
            <w:tcW w:w="1135" w:type="dxa"/>
            <w:vMerge/>
          </w:tcPr>
          <w:p w:rsidR="00824D03" w:rsidRPr="00642BFA" w:rsidRDefault="00824D03" w:rsidP="00824D03">
            <w:pPr>
              <w:pStyle w:val="TableParagraph"/>
              <w:adjustRightInd w:val="0"/>
              <w:snapToGrid w:val="0"/>
              <w:ind w:left="203" w:right="188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3118" w:type="dxa"/>
          </w:tcPr>
          <w:p w:rsidR="00824D03" w:rsidRPr="00824D03" w:rsidRDefault="00824D03" w:rsidP="00824D03">
            <w:pPr>
              <w:pStyle w:val="TableParagraph"/>
              <w:spacing w:before="197"/>
              <w:ind w:left="203" w:right="19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維生素 B12</w:t>
            </w:r>
          </w:p>
        </w:tc>
        <w:tc>
          <w:tcPr>
            <w:tcW w:w="2410" w:type="dxa"/>
          </w:tcPr>
          <w:p w:rsidR="00824D03" w:rsidRPr="00824D03" w:rsidRDefault="00824D03" w:rsidP="00824D03">
            <w:pPr>
              <w:pStyle w:val="TableParagraph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9072" w:type="dxa"/>
          </w:tcPr>
          <w:p w:rsidR="00824D03" w:rsidRPr="00824D03" w:rsidRDefault="00824D03" w:rsidP="00824D03">
            <w:pPr>
              <w:pStyle w:val="TableParagraph"/>
              <w:spacing w:before="24" w:line="320" w:lineRule="atLeast"/>
              <w:ind w:left="34" w:right="31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有助於紅血球的形成。增進神經系統的健康。</w:t>
            </w:r>
          </w:p>
        </w:tc>
      </w:tr>
      <w:tr w:rsidR="00824D03" w:rsidTr="00824D03">
        <w:tc>
          <w:tcPr>
            <w:tcW w:w="1135" w:type="dxa"/>
            <w:vMerge/>
          </w:tcPr>
          <w:p w:rsidR="00824D03" w:rsidRPr="00642BFA" w:rsidRDefault="00824D03" w:rsidP="00824D03">
            <w:pPr>
              <w:pStyle w:val="TableParagraph"/>
              <w:adjustRightInd w:val="0"/>
              <w:snapToGrid w:val="0"/>
              <w:ind w:left="203" w:right="188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3118" w:type="dxa"/>
          </w:tcPr>
          <w:p w:rsidR="00824D03" w:rsidRPr="00824D03" w:rsidRDefault="00824D03" w:rsidP="00824D03">
            <w:pPr>
              <w:pStyle w:val="TableParagraph"/>
              <w:ind w:left="203" w:right="19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生物素</w:t>
            </w:r>
          </w:p>
        </w:tc>
        <w:tc>
          <w:tcPr>
            <w:tcW w:w="2410" w:type="dxa"/>
          </w:tcPr>
          <w:p w:rsidR="00824D03" w:rsidRPr="00824D03" w:rsidRDefault="00824D03" w:rsidP="00824D03">
            <w:pPr>
              <w:pStyle w:val="TableParagraph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9072" w:type="dxa"/>
          </w:tcPr>
          <w:p w:rsidR="00824D03" w:rsidRPr="00824D03" w:rsidRDefault="00824D03" w:rsidP="00824D03">
            <w:pPr>
              <w:pStyle w:val="TableParagraph"/>
              <w:spacing w:line="320" w:lineRule="atLeast"/>
              <w:ind w:left="34" w:right="44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pacing w:val="-4"/>
                <w:sz w:val="24"/>
                <w:szCs w:val="24"/>
              </w:rPr>
              <w:t>有助於維持能量與胺基酸的正常代謝。</w:t>
            </w:r>
            <w:r w:rsidRPr="00824D03">
              <w:rPr>
                <w:rFonts w:ascii="標楷體" w:eastAsia="標楷體" w:hAnsi="標楷體"/>
                <w:spacing w:val="-3"/>
                <w:sz w:val="24"/>
                <w:szCs w:val="24"/>
              </w:rPr>
              <w:t>有助於脂肪與肝醣的合成。有助於嘌呤的合成。增進皮膚和黏膜的健康。</w:t>
            </w:r>
          </w:p>
        </w:tc>
      </w:tr>
      <w:tr w:rsidR="00824D03" w:rsidTr="00824D03">
        <w:tc>
          <w:tcPr>
            <w:tcW w:w="1135" w:type="dxa"/>
            <w:vMerge/>
          </w:tcPr>
          <w:p w:rsidR="00824D03" w:rsidRPr="00642BFA" w:rsidRDefault="00824D03" w:rsidP="00824D03">
            <w:pPr>
              <w:pStyle w:val="TableParagraph"/>
              <w:adjustRightInd w:val="0"/>
              <w:snapToGrid w:val="0"/>
              <w:ind w:left="203" w:right="188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3118" w:type="dxa"/>
          </w:tcPr>
          <w:p w:rsidR="00824D03" w:rsidRPr="00824D03" w:rsidRDefault="00824D03" w:rsidP="00824D03">
            <w:pPr>
              <w:pStyle w:val="TableParagraph"/>
              <w:ind w:left="203" w:right="19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泛酸</w:t>
            </w:r>
          </w:p>
        </w:tc>
        <w:tc>
          <w:tcPr>
            <w:tcW w:w="2410" w:type="dxa"/>
          </w:tcPr>
          <w:p w:rsidR="00824D03" w:rsidRPr="00824D03" w:rsidRDefault="00824D03" w:rsidP="00824D03">
            <w:pPr>
              <w:pStyle w:val="TableParagraph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9072" w:type="dxa"/>
          </w:tcPr>
          <w:p w:rsidR="00824D03" w:rsidRPr="00824D03" w:rsidRDefault="00824D03" w:rsidP="00824D03">
            <w:pPr>
              <w:pStyle w:val="TableParagraph"/>
              <w:spacing w:before="12" w:line="249" w:lineRule="auto"/>
              <w:ind w:left="34" w:right="30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有助於維持能量正常代謝。增進皮膚和黏膜的健康。有助於體脂肪、膽固醇的合成及胺基酸的代謝。</w:t>
            </w:r>
          </w:p>
        </w:tc>
      </w:tr>
      <w:tr w:rsidR="00824D03" w:rsidTr="00824D03">
        <w:tc>
          <w:tcPr>
            <w:tcW w:w="1135" w:type="dxa"/>
          </w:tcPr>
          <w:p w:rsidR="00824D03" w:rsidRPr="00642BFA" w:rsidRDefault="00824D03" w:rsidP="00824D03">
            <w:pPr>
              <w:pStyle w:val="TableParagraph"/>
              <w:adjustRightInd w:val="0"/>
              <w:snapToGrid w:val="0"/>
              <w:ind w:left="203" w:right="188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3118" w:type="dxa"/>
          </w:tcPr>
          <w:p w:rsidR="00824D03" w:rsidRPr="00824D03" w:rsidRDefault="00824D03" w:rsidP="00824D03">
            <w:pPr>
              <w:pStyle w:val="TableParagraph"/>
              <w:ind w:left="203" w:right="19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鈣</w:t>
            </w:r>
          </w:p>
        </w:tc>
        <w:tc>
          <w:tcPr>
            <w:tcW w:w="2410" w:type="dxa"/>
          </w:tcPr>
          <w:p w:rsidR="00824D03" w:rsidRPr="00824D03" w:rsidRDefault="00824D03" w:rsidP="00824D03">
            <w:pPr>
              <w:pStyle w:val="TableParagraph"/>
              <w:ind w:left="203" w:right="191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9072" w:type="dxa"/>
          </w:tcPr>
          <w:p w:rsidR="00824D03" w:rsidRPr="00824D03" w:rsidRDefault="00824D03" w:rsidP="00824D03">
            <w:pPr>
              <w:pStyle w:val="TableParagraph"/>
              <w:spacing w:line="249" w:lineRule="auto"/>
              <w:ind w:left="34" w:right="191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有助維持於骨骼與牙齒的正常發育及健康。幫助血液正常的凝固功能。有助於肌肉與心臟的正常收縮及神經的感應性。活化凝血</w:t>
            </w:r>
            <w:r w:rsidRPr="00824D03">
              <w:rPr>
                <w:rFonts w:ascii="標楷體" w:eastAsia="標楷體" w:hAnsi="標楷體" w:hint="eastAsia"/>
                <w:sz w:val="24"/>
                <w:szCs w:val="24"/>
              </w:rPr>
              <w:t>酶</w:t>
            </w:r>
            <w:r w:rsidRPr="00824D03">
              <w:rPr>
                <w:rFonts w:ascii="標楷體" w:eastAsia="標楷體" w:hAnsi="標楷體"/>
                <w:sz w:val="24"/>
                <w:szCs w:val="24"/>
              </w:rPr>
              <w:t>元轉變為凝血</w:t>
            </w:r>
            <w:r w:rsidRPr="00824D03">
              <w:rPr>
                <w:rFonts w:ascii="標楷體" w:eastAsia="標楷體" w:hAnsi="標楷體" w:hint="eastAsia"/>
                <w:sz w:val="24"/>
                <w:szCs w:val="24"/>
              </w:rPr>
              <w:t>酶</w:t>
            </w:r>
            <w:r w:rsidRPr="00824D03">
              <w:rPr>
                <w:rFonts w:ascii="標楷體" w:eastAsia="標楷體" w:hAnsi="標楷體"/>
                <w:sz w:val="24"/>
                <w:szCs w:val="24"/>
              </w:rPr>
              <w:t>，幫助血液凝固。調控細胞的通透性。</w:t>
            </w:r>
          </w:p>
        </w:tc>
      </w:tr>
      <w:tr w:rsidR="00824D03" w:rsidTr="00824D03">
        <w:tc>
          <w:tcPr>
            <w:tcW w:w="1135" w:type="dxa"/>
          </w:tcPr>
          <w:p w:rsidR="00824D03" w:rsidRPr="00642BFA" w:rsidRDefault="00824D03" w:rsidP="00824D03">
            <w:pPr>
              <w:pStyle w:val="TableParagraph"/>
              <w:adjustRightInd w:val="0"/>
              <w:snapToGrid w:val="0"/>
              <w:ind w:left="203" w:right="188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3118" w:type="dxa"/>
          </w:tcPr>
          <w:p w:rsidR="00824D03" w:rsidRPr="00824D03" w:rsidRDefault="00824D03" w:rsidP="00824D03">
            <w:pPr>
              <w:pStyle w:val="TableParagraph"/>
              <w:ind w:left="203" w:right="19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鐵</w:t>
            </w:r>
          </w:p>
        </w:tc>
        <w:tc>
          <w:tcPr>
            <w:tcW w:w="2410" w:type="dxa"/>
          </w:tcPr>
          <w:p w:rsidR="00824D03" w:rsidRPr="00824D03" w:rsidRDefault="00824D03" w:rsidP="00824D03">
            <w:pPr>
              <w:pStyle w:val="TableParagraph"/>
              <w:ind w:left="203" w:right="191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9072" w:type="dxa"/>
          </w:tcPr>
          <w:p w:rsidR="00824D03" w:rsidRPr="00824D03" w:rsidRDefault="00824D03" w:rsidP="00824D03">
            <w:pPr>
              <w:pStyle w:val="TableParagraph"/>
              <w:spacing w:before="36" w:line="249" w:lineRule="auto"/>
              <w:ind w:left="34" w:right="191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有助於正常紅血球的形成。構成血紅素與肌紅素的重要成分。有助於氧氣的輸送與利用。</w:t>
            </w:r>
          </w:p>
        </w:tc>
      </w:tr>
      <w:tr w:rsidR="00824D03" w:rsidTr="00824D03">
        <w:tc>
          <w:tcPr>
            <w:tcW w:w="1135" w:type="dxa"/>
          </w:tcPr>
          <w:p w:rsidR="00824D03" w:rsidRPr="00642BFA" w:rsidRDefault="00824D03" w:rsidP="00824D03">
            <w:pPr>
              <w:pStyle w:val="TableParagraph"/>
              <w:adjustRightInd w:val="0"/>
              <w:snapToGrid w:val="0"/>
              <w:ind w:left="203" w:right="188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3118" w:type="dxa"/>
          </w:tcPr>
          <w:p w:rsidR="00824D03" w:rsidRPr="00824D03" w:rsidRDefault="00824D03" w:rsidP="00824D03">
            <w:pPr>
              <w:pStyle w:val="TableParagraph"/>
              <w:ind w:left="203" w:right="19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碘</w:t>
            </w:r>
          </w:p>
        </w:tc>
        <w:tc>
          <w:tcPr>
            <w:tcW w:w="2410" w:type="dxa"/>
          </w:tcPr>
          <w:p w:rsidR="00824D03" w:rsidRPr="00824D03" w:rsidRDefault="00824D03" w:rsidP="00824D03">
            <w:pPr>
              <w:pStyle w:val="TableParagraph"/>
              <w:ind w:left="203" w:right="191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9072" w:type="dxa"/>
          </w:tcPr>
          <w:p w:rsidR="00824D03" w:rsidRPr="00824D03" w:rsidRDefault="00824D03" w:rsidP="00824D03">
            <w:pPr>
              <w:pStyle w:val="TableParagraph"/>
              <w:spacing w:before="36" w:line="249" w:lineRule="auto"/>
              <w:ind w:left="34" w:right="191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合成甲狀腺激素的主要成分。有助於維持正常生長、發育、神經肌肉的功能。調節細胞的氧化作用。有助於維持甲狀腺激素的正常分泌。</w:t>
            </w:r>
            <w:r w:rsidRPr="00824D03">
              <w:rPr>
                <w:rFonts w:ascii="標楷體" w:eastAsia="標楷體" w:hAnsi="標楷體"/>
                <w:b/>
                <w:sz w:val="24"/>
                <w:szCs w:val="24"/>
                <w:u w:val="single"/>
              </w:rPr>
              <w:t>有助於維持正常基礎代謝。</w:t>
            </w:r>
          </w:p>
        </w:tc>
      </w:tr>
      <w:tr w:rsidR="00824D03" w:rsidTr="00824D03">
        <w:tc>
          <w:tcPr>
            <w:tcW w:w="1135" w:type="dxa"/>
          </w:tcPr>
          <w:p w:rsidR="00824D03" w:rsidRPr="00642BFA" w:rsidRDefault="00824D03" w:rsidP="00824D03">
            <w:pPr>
              <w:pStyle w:val="TableParagraph"/>
              <w:adjustRightInd w:val="0"/>
              <w:snapToGrid w:val="0"/>
              <w:ind w:left="203" w:right="188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3118" w:type="dxa"/>
          </w:tcPr>
          <w:p w:rsidR="00824D03" w:rsidRPr="00824D03" w:rsidRDefault="00824D03" w:rsidP="00824D03">
            <w:pPr>
              <w:pStyle w:val="TableParagraph"/>
              <w:ind w:left="203" w:right="19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  <w:p w:rsidR="00824D03" w:rsidRPr="00824D03" w:rsidRDefault="00824D03" w:rsidP="00824D03">
            <w:pPr>
              <w:pStyle w:val="TableParagraph"/>
              <w:ind w:left="203" w:right="19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鎂</w:t>
            </w:r>
          </w:p>
        </w:tc>
        <w:tc>
          <w:tcPr>
            <w:tcW w:w="2410" w:type="dxa"/>
          </w:tcPr>
          <w:p w:rsidR="00824D03" w:rsidRPr="00824D03" w:rsidRDefault="00824D03" w:rsidP="00824D03">
            <w:pPr>
              <w:pStyle w:val="TableParagraph"/>
              <w:ind w:left="203" w:right="19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9072" w:type="dxa"/>
          </w:tcPr>
          <w:p w:rsidR="00824D03" w:rsidRPr="00824D03" w:rsidRDefault="00824D03" w:rsidP="00824D03">
            <w:pPr>
              <w:pStyle w:val="TableParagraph"/>
              <w:spacing w:before="36" w:line="249" w:lineRule="auto"/>
              <w:ind w:left="34" w:right="191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有助於骨骼與牙齒的正常發育。有助於維持醣類的正常代謝。有助於心臟、肌肉及神經的正常功能。</w:t>
            </w:r>
            <w:r w:rsidRPr="00243CAA">
              <w:rPr>
                <w:rFonts w:ascii="標楷體" w:eastAsia="標楷體" w:hAnsi="標楷體"/>
                <w:b/>
                <w:sz w:val="24"/>
                <w:szCs w:val="24"/>
                <w:u w:val="single"/>
              </w:rPr>
              <w:t>有助於身體正常代謝。</w:t>
            </w:r>
          </w:p>
        </w:tc>
      </w:tr>
      <w:tr w:rsidR="00824D03" w:rsidTr="00824D03">
        <w:tc>
          <w:tcPr>
            <w:tcW w:w="1135" w:type="dxa"/>
          </w:tcPr>
          <w:p w:rsidR="00824D03" w:rsidRPr="00642BFA" w:rsidRDefault="00824D03" w:rsidP="00824D03">
            <w:pPr>
              <w:pStyle w:val="TableParagraph"/>
              <w:adjustRightInd w:val="0"/>
              <w:snapToGrid w:val="0"/>
              <w:ind w:left="203" w:right="188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3118" w:type="dxa"/>
          </w:tcPr>
          <w:p w:rsidR="00824D03" w:rsidRPr="00824D03" w:rsidRDefault="00824D03" w:rsidP="00824D03">
            <w:pPr>
              <w:pStyle w:val="TableParagraph"/>
              <w:spacing w:before="172"/>
              <w:ind w:left="203" w:right="19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鋅</w:t>
            </w:r>
          </w:p>
        </w:tc>
        <w:tc>
          <w:tcPr>
            <w:tcW w:w="2410" w:type="dxa"/>
          </w:tcPr>
          <w:p w:rsidR="00824D03" w:rsidRPr="00824D03" w:rsidRDefault="00824D03" w:rsidP="00824D03">
            <w:pPr>
              <w:pStyle w:val="TableParagraph"/>
              <w:ind w:left="203" w:right="19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9072" w:type="dxa"/>
          </w:tcPr>
          <w:p w:rsidR="00824D03" w:rsidRPr="00824D03" w:rsidRDefault="00824D03" w:rsidP="00824D03">
            <w:pPr>
              <w:pStyle w:val="TableParagraph"/>
              <w:spacing w:before="36" w:line="249" w:lineRule="auto"/>
              <w:ind w:left="34" w:right="191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為胰島素及多種酵素的成分。有助於維持能量、醣類、蛋白質與核酸的正常代謝。</w:t>
            </w:r>
            <w:r w:rsidRPr="00243CAA">
              <w:rPr>
                <w:rFonts w:ascii="標楷體" w:eastAsia="標楷體" w:hAnsi="標楷體"/>
                <w:b/>
                <w:sz w:val="24"/>
                <w:szCs w:val="24"/>
                <w:u w:val="single"/>
              </w:rPr>
              <w:t>增進皮膚健康</w:t>
            </w:r>
            <w:r w:rsidRPr="00824D03">
              <w:rPr>
                <w:rFonts w:ascii="標楷體" w:eastAsia="標楷體" w:hAnsi="標楷體"/>
                <w:sz w:val="24"/>
                <w:szCs w:val="24"/>
              </w:rPr>
              <w:t>。有助於維持正常味覺與食慾。有助於維持生長發育與生殖機能。有助於皮膚組織蛋白質的合成。</w:t>
            </w:r>
          </w:p>
        </w:tc>
      </w:tr>
      <w:tr w:rsidR="00824D03" w:rsidTr="00824D03">
        <w:tc>
          <w:tcPr>
            <w:tcW w:w="1135" w:type="dxa"/>
          </w:tcPr>
          <w:p w:rsidR="00824D03" w:rsidRPr="00642BFA" w:rsidRDefault="00824D03" w:rsidP="00824D03">
            <w:pPr>
              <w:pStyle w:val="TableParagraph"/>
              <w:adjustRightInd w:val="0"/>
              <w:snapToGrid w:val="0"/>
              <w:ind w:left="203" w:right="188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3118" w:type="dxa"/>
          </w:tcPr>
          <w:p w:rsidR="00824D03" w:rsidRPr="00824D03" w:rsidRDefault="00824D03" w:rsidP="00824D03">
            <w:pPr>
              <w:pStyle w:val="TableParagraph"/>
              <w:ind w:left="203" w:right="19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鉻</w:t>
            </w:r>
          </w:p>
        </w:tc>
        <w:tc>
          <w:tcPr>
            <w:tcW w:w="2410" w:type="dxa"/>
          </w:tcPr>
          <w:p w:rsidR="00824D03" w:rsidRPr="00824D03" w:rsidRDefault="00824D03" w:rsidP="00824D03">
            <w:pPr>
              <w:pStyle w:val="TableParagraph"/>
              <w:ind w:left="203" w:right="19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6μg</w:t>
            </w:r>
          </w:p>
        </w:tc>
        <w:tc>
          <w:tcPr>
            <w:tcW w:w="9072" w:type="dxa"/>
          </w:tcPr>
          <w:p w:rsidR="00824D03" w:rsidRPr="00824D03" w:rsidRDefault="00824D03" w:rsidP="00824D03">
            <w:pPr>
              <w:pStyle w:val="TableParagraph"/>
              <w:ind w:left="34" w:right="191"/>
              <w:rPr>
                <w:rFonts w:ascii="標楷體" w:eastAsia="標楷體" w:hAnsi="標楷體"/>
                <w:sz w:val="24"/>
                <w:szCs w:val="24"/>
              </w:rPr>
            </w:pPr>
            <w:r w:rsidRPr="00824D03">
              <w:rPr>
                <w:rFonts w:ascii="標楷體" w:eastAsia="標楷體" w:hAnsi="標楷體"/>
                <w:sz w:val="24"/>
                <w:szCs w:val="24"/>
              </w:rPr>
              <w:t>有助於維持醣類正常代謝。</w:t>
            </w:r>
          </w:p>
        </w:tc>
      </w:tr>
    </w:tbl>
    <w:p w:rsidR="00642BFA" w:rsidRPr="00642BFA" w:rsidRDefault="00642BFA" w:rsidP="00642BFA">
      <w:pPr>
        <w:pStyle w:val="3"/>
        <w:adjustRightInd w:val="0"/>
        <w:snapToGrid w:val="0"/>
        <w:spacing w:line="240" w:lineRule="auto"/>
        <w:ind w:left="1021"/>
        <w:rPr>
          <w:rFonts w:ascii="標楷體" w:eastAsia="標楷體" w:hAnsi="標楷體"/>
        </w:rPr>
      </w:pPr>
    </w:p>
    <w:p w:rsidR="00243CAA" w:rsidRDefault="00243CAA" w:rsidP="00642BFA">
      <w:pPr>
        <w:pStyle w:val="a3"/>
        <w:rPr>
          <w:rFonts w:ascii="微軟正黑體"/>
          <w:b/>
          <w:sz w:val="20"/>
        </w:rPr>
        <w:sectPr w:rsidR="00243CAA" w:rsidSect="00642BFA">
          <w:pgSz w:w="16838" w:h="11906" w:orient="landscape"/>
          <w:pgMar w:top="709" w:right="1440" w:bottom="1800" w:left="1440" w:header="851" w:footer="992" w:gutter="0"/>
          <w:cols w:space="425"/>
          <w:docGrid w:type="lines" w:linePitch="360"/>
        </w:sectPr>
      </w:pPr>
    </w:p>
    <w:p w:rsidR="00642BFA" w:rsidRPr="00243CAA" w:rsidRDefault="00243CAA" w:rsidP="00243CAA">
      <w:pPr>
        <w:pStyle w:val="3"/>
        <w:spacing w:before="111" w:line="240" w:lineRule="auto"/>
        <w:rPr>
          <w:rFonts w:ascii="標楷體" w:eastAsia="標楷體" w:hAnsi="標楷體"/>
        </w:rPr>
      </w:pPr>
      <w:r w:rsidRPr="00243CAA">
        <w:rPr>
          <w:rFonts w:ascii="標楷體" w:eastAsia="標楷體" w:hAnsi="標楷體"/>
        </w:rPr>
        <w:lastRenderedPageBreak/>
        <w:t>附表二、其他營養素例句</w:t>
      </w:r>
    </w:p>
    <w:tbl>
      <w:tblPr>
        <w:tblStyle w:val="a5"/>
        <w:tblW w:w="15735" w:type="dxa"/>
        <w:tblInd w:w="-714" w:type="dxa"/>
        <w:tblLook w:val="04A0" w:firstRow="1" w:lastRow="0" w:firstColumn="1" w:lastColumn="0" w:noHBand="0" w:noVBand="1"/>
      </w:tblPr>
      <w:tblGrid>
        <w:gridCol w:w="1135"/>
        <w:gridCol w:w="3118"/>
        <w:gridCol w:w="2410"/>
        <w:gridCol w:w="9072"/>
      </w:tblGrid>
      <w:tr w:rsidR="00243CAA" w:rsidTr="00472956">
        <w:tc>
          <w:tcPr>
            <w:tcW w:w="1135" w:type="dxa"/>
            <w:shd w:val="clear" w:color="auto" w:fill="DEEAF6" w:themeFill="accent1" w:themeFillTint="33"/>
          </w:tcPr>
          <w:p w:rsidR="00243CAA" w:rsidRDefault="00243CAA" w:rsidP="00472956">
            <w:pPr>
              <w:pStyle w:val="TableParagraph"/>
              <w:adjustRightInd w:val="0"/>
              <w:snapToGrid w:val="0"/>
              <w:spacing w:before="124"/>
              <w:ind w:left="203" w:right="191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t>類</w:t>
            </w:r>
            <w:r>
              <w:rPr>
                <w:rFonts w:ascii="標楷體" w:eastAsia="標楷體" w:hAnsi="標楷體"/>
                <w:b/>
                <w:sz w:val="24"/>
                <w:szCs w:val="24"/>
              </w:rPr>
              <w:t>別</w:t>
            </w:r>
          </w:p>
        </w:tc>
        <w:tc>
          <w:tcPr>
            <w:tcW w:w="14600" w:type="dxa"/>
            <w:gridSpan w:val="3"/>
            <w:shd w:val="clear" w:color="auto" w:fill="DEEAF6" w:themeFill="accent1" w:themeFillTint="33"/>
          </w:tcPr>
          <w:p w:rsidR="00243CAA" w:rsidRPr="00243CAA" w:rsidRDefault="00243CAA" w:rsidP="00472956">
            <w:pPr>
              <w:rPr>
                <w:rFonts w:ascii="標楷體" w:eastAsia="標楷體" w:hAnsi="標楷體"/>
              </w:rPr>
            </w:pPr>
            <w:r>
              <w:rPr>
                <w:rFonts w:ascii="細明體_HKSCS" w:eastAsia="細明體_HKSCS" w:hint="eastAsia"/>
                <w:sz w:val="20"/>
              </w:rPr>
              <w:t>註:</w:t>
            </w:r>
            <w:r>
              <w:rPr>
                <w:spacing w:val="-10"/>
                <w:sz w:val="20"/>
              </w:rPr>
              <w:t>營養素成分「含量」應符合「包裝食品營養宣稱應遵行事項」及「包裝</w:t>
            </w:r>
            <w:r>
              <w:rPr>
                <w:spacing w:val="-13"/>
                <w:sz w:val="20"/>
              </w:rPr>
              <w:t>維生素礦物質類之錠狀膠囊狀食品營養標示應遵行事項」，前開規定未</w:t>
            </w:r>
            <w:r>
              <w:rPr>
                <w:spacing w:val="-8"/>
                <w:sz w:val="20"/>
              </w:rPr>
              <w:t>列者，「每日最低攝取量」應達附表二規定以上，方得標示、宣傳或廣告該附表「可敘述之生理功能例句」。</w:t>
            </w:r>
          </w:p>
        </w:tc>
      </w:tr>
      <w:tr w:rsidR="00243CAA" w:rsidTr="00472956">
        <w:tc>
          <w:tcPr>
            <w:tcW w:w="1135" w:type="dxa"/>
            <w:vMerge w:val="restart"/>
          </w:tcPr>
          <w:p w:rsidR="00243CAA" w:rsidRPr="00642BFA" w:rsidRDefault="00243CAA" w:rsidP="00472956">
            <w:pPr>
              <w:pStyle w:val="TableParagraph"/>
              <w:adjustRightInd w:val="0"/>
              <w:snapToGrid w:val="0"/>
              <w:spacing w:before="124"/>
              <w:ind w:left="203" w:right="191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t>食品</w:t>
            </w:r>
          </w:p>
        </w:tc>
        <w:tc>
          <w:tcPr>
            <w:tcW w:w="3118" w:type="dxa"/>
          </w:tcPr>
          <w:p w:rsidR="00243CAA" w:rsidRPr="00642BFA" w:rsidRDefault="00243CAA" w:rsidP="00472956">
            <w:pPr>
              <w:pStyle w:val="TableParagraph"/>
              <w:adjustRightInd w:val="0"/>
              <w:snapToGrid w:val="0"/>
              <w:spacing w:before="124"/>
              <w:ind w:left="203" w:right="191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642BFA">
              <w:rPr>
                <w:rFonts w:ascii="標楷體" w:eastAsia="標楷體" w:hAnsi="標楷體" w:hint="eastAsia"/>
                <w:b/>
                <w:sz w:val="24"/>
                <w:szCs w:val="24"/>
              </w:rPr>
              <w:t>營養素成分</w:t>
            </w:r>
          </w:p>
        </w:tc>
        <w:tc>
          <w:tcPr>
            <w:tcW w:w="2410" w:type="dxa"/>
          </w:tcPr>
          <w:p w:rsidR="00243CAA" w:rsidRPr="00642BFA" w:rsidRDefault="00243CAA" w:rsidP="00472956">
            <w:pPr>
              <w:pStyle w:val="TableParagraph"/>
              <w:adjustRightInd w:val="0"/>
              <w:snapToGrid w:val="0"/>
              <w:spacing w:before="124"/>
              <w:ind w:left="203" w:right="191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642BFA">
              <w:rPr>
                <w:rFonts w:ascii="標楷體" w:eastAsia="標楷體" w:hAnsi="標楷體" w:hint="eastAsia"/>
                <w:b/>
                <w:sz w:val="24"/>
                <w:szCs w:val="24"/>
              </w:rPr>
              <w:t>每日最低攝取量</w:t>
            </w:r>
          </w:p>
        </w:tc>
        <w:tc>
          <w:tcPr>
            <w:tcW w:w="9072" w:type="dxa"/>
          </w:tcPr>
          <w:p w:rsidR="00243CAA" w:rsidRPr="00642BFA" w:rsidRDefault="00243CAA" w:rsidP="00472956">
            <w:pPr>
              <w:pStyle w:val="TableParagraph"/>
              <w:adjustRightInd w:val="0"/>
              <w:snapToGrid w:val="0"/>
              <w:spacing w:before="124"/>
              <w:ind w:left="851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642BFA">
              <w:rPr>
                <w:rFonts w:ascii="標楷體" w:eastAsia="標楷體" w:hAnsi="標楷體" w:hint="eastAsia"/>
                <w:b/>
                <w:sz w:val="24"/>
                <w:szCs w:val="24"/>
              </w:rPr>
              <w:t>可敘述之生理功能例句</w:t>
            </w:r>
          </w:p>
        </w:tc>
      </w:tr>
      <w:tr w:rsidR="00243CAA" w:rsidTr="00472956">
        <w:tc>
          <w:tcPr>
            <w:tcW w:w="1135" w:type="dxa"/>
            <w:vMerge/>
          </w:tcPr>
          <w:p w:rsidR="00243CAA" w:rsidRPr="00642BFA" w:rsidRDefault="00243CAA" w:rsidP="00243CAA">
            <w:pPr>
              <w:pStyle w:val="TableParagraph"/>
              <w:adjustRightInd w:val="0"/>
              <w:snapToGrid w:val="0"/>
              <w:spacing w:before="197"/>
              <w:ind w:left="216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3118" w:type="dxa"/>
          </w:tcPr>
          <w:p w:rsidR="00243CAA" w:rsidRPr="00243CAA" w:rsidRDefault="00243CAA" w:rsidP="00243CAA">
            <w:pPr>
              <w:pStyle w:val="TableParagraph"/>
              <w:ind w:left="203" w:right="19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43CAA">
              <w:rPr>
                <w:rFonts w:ascii="標楷體" w:eastAsia="標楷體" w:hAnsi="標楷體"/>
                <w:sz w:val="24"/>
                <w:szCs w:val="24"/>
              </w:rPr>
              <w:t>蛋白質</w:t>
            </w:r>
          </w:p>
        </w:tc>
        <w:tc>
          <w:tcPr>
            <w:tcW w:w="2410" w:type="dxa"/>
          </w:tcPr>
          <w:p w:rsidR="00243CAA" w:rsidRPr="00243CAA" w:rsidRDefault="00243CAA" w:rsidP="00243CAA">
            <w:pPr>
              <w:pStyle w:val="TableParagraph"/>
              <w:ind w:left="203" w:right="19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9072" w:type="dxa"/>
          </w:tcPr>
          <w:p w:rsidR="00243CAA" w:rsidRPr="00243CAA" w:rsidRDefault="00243CAA" w:rsidP="00243CAA">
            <w:pPr>
              <w:pStyle w:val="TableParagraph"/>
              <w:spacing w:line="225" w:lineRule="auto"/>
              <w:ind w:left="175" w:right="191"/>
              <w:rPr>
                <w:rFonts w:ascii="標楷體" w:eastAsia="標楷體" w:hAnsi="標楷體"/>
                <w:sz w:val="24"/>
                <w:szCs w:val="24"/>
              </w:rPr>
            </w:pPr>
            <w:r w:rsidRPr="00243CAA">
              <w:rPr>
                <w:rFonts w:ascii="標楷體" w:eastAsia="標楷體" w:hAnsi="標楷體"/>
                <w:sz w:val="24"/>
                <w:szCs w:val="24"/>
              </w:rPr>
              <w:t>人體細胞、組織、器官的主要構成物質。幫助生長發育。有助於組織的修復。</w:t>
            </w:r>
          </w:p>
          <w:p w:rsidR="00243CAA" w:rsidRPr="00243CAA" w:rsidRDefault="00243CAA" w:rsidP="00243CAA">
            <w:pPr>
              <w:pStyle w:val="TableParagraph"/>
              <w:spacing w:line="292" w:lineRule="exact"/>
              <w:ind w:left="175" w:right="191"/>
              <w:rPr>
                <w:rFonts w:ascii="標楷體" w:eastAsia="標楷體" w:hAnsi="標楷體"/>
                <w:sz w:val="24"/>
                <w:szCs w:val="24"/>
              </w:rPr>
            </w:pPr>
            <w:r w:rsidRPr="00243CAA">
              <w:rPr>
                <w:rFonts w:ascii="標楷體" w:eastAsia="標楷體" w:hAnsi="標楷體"/>
                <w:sz w:val="24"/>
                <w:szCs w:val="24"/>
              </w:rPr>
              <w:t>為肌肉合成的來源之一。可用於肌肉生長。</w:t>
            </w:r>
          </w:p>
        </w:tc>
      </w:tr>
      <w:tr w:rsidR="00243CAA" w:rsidTr="00472956">
        <w:tc>
          <w:tcPr>
            <w:tcW w:w="1135" w:type="dxa"/>
            <w:vMerge/>
          </w:tcPr>
          <w:p w:rsidR="00243CAA" w:rsidRPr="00642BFA" w:rsidRDefault="00243CAA" w:rsidP="00243CAA">
            <w:pPr>
              <w:pStyle w:val="TableParagraph"/>
              <w:adjustRightInd w:val="0"/>
              <w:snapToGrid w:val="0"/>
              <w:ind w:left="203" w:right="188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3118" w:type="dxa"/>
          </w:tcPr>
          <w:p w:rsidR="00243CAA" w:rsidRPr="00243CAA" w:rsidRDefault="00243CAA" w:rsidP="00243CAA">
            <w:pPr>
              <w:pStyle w:val="TableParagraph"/>
              <w:ind w:left="203" w:right="19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43CAA">
              <w:rPr>
                <w:rFonts w:ascii="標楷體" w:eastAsia="標楷體" w:hAnsi="標楷體"/>
                <w:sz w:val="24"/>
                <w:szCs w:val="24"/>
              </w:rPr>
              <w:t>膳食纖維</w:t>
            </w:r>
          </w:p>
        </w:tc>
        <w:tc>
          <w:tcPr>
            <w:tcW w:w="2410" w:type="dxa"/>
          </w:tcPr>
          <w:p w:rsidR="00243CAA" w:rsidRPr="00243CAA" w:rsidRDefault="00243CAA" w:rsidP="00243CAA">
            <w:pPr>
              <w:pStyle w:val="TableParagraph"/>
              <w:ind w:left="203" w:right="19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9072" w:type="dxa"/>
          </w:tcPr>
          <w:p w:rsidR="00243CAA" w:rsidRPr="00243CAA" w:rsidRDefault="00243CAA" w:rsidP="00243CAA">
            <w:pPr>
              <w:pStyle w:val="TableParagraph"/>
              <w:ind w:left="175" w:right="191"/>
              <w:rPr>
                <w:rFonts w:ascii="標楷體" w:eastAsia="標楷體" w:hAnsi="標楷體"/>
                <w:sz w:val="24"/>
                <w:szCs w:val="24"/>
              </w:rPr>
            </w:pPr>
            <w:r w:rsidRPr="00243CAA">
              <w:rPr>
                <w:rFonts w:ascii="標楷體" w:eastAsia="標楷體" w:hAnsi="標楷體"/>
                <w:sz w:val="24"/>
                <w:szCs w:val="24"/>
              </w:rPr>
              <w:t>可促進腸道蠕動。</w:t>
            </w:r>
            <w:r w:rsidRPr="00243CAA">
              <w:rPr>
                <w:rFonts w:ascii="標楷體" w:eastAsia="標楷體" w:hAnsi="標楷體"/>
                <w:b/>
                <w:sz w:val="24"/>
                <w:szCs w:val="24"/>
                <w:u w:val="single"/>
              </w:rPr>
              <w:t>增加飽足感。</w:t>
            </w:r>
            <w:r w:rsidRPr="00243CAA">
              <w:rPr>
                <w:rFonts w:ascii="標楷體" w:eastAsia="標楷體" w:hAnsi="標楷體"/>
                <w:sz w:val="24"/>
                <w:szCs w:val="24"/>
              </w:rPr>
              <w:t>使糞便比較柔軟而易於排出。膳食中有適量的膳食纖維時，可增加糞便量。</w:t>
            </w:r>
          </w:p>
        </w:tc>
      </w:tr>
    </w:tbl>
    <w:p w:rsidR="00642BFA" w:rsidRDefault="00642BFA" w:rsidP="00642BFA">
      <w:pPr>
        <w:pStyle w:val="a3"/>
        <w:rPr>
          <w:rFonts w:ascii="微軟正黑體"/>
          <w:b/>
          <w:sz w:val="20"/>
        </w:rPr>
      </w:pPr>
    </w:p>
    <w:p w:rsidR="00642BFA" w:rsidRDefault="00642BFA" w:rsidP="00642BFA">
      <w:pPr>
        <w:pStyle w:val="a3"/>
        <w:rPr>
          <w:rFonts w:ascii="微軟正黑體"/>
          <w:b/>
          <w:sz w:val="20"/>
        </w:rPr>
      </w:pPr>
    </w:p>
    <w:p w:rsidR="00642BFA" w:rsidRDefault="00642BFA" w:rsidP="00642BFA">
      <w:pPr>
        <w:pStyle w:val="a3"/>
        <w:rPr>
          <w:rFonts w:ascii="微軟正黑體"/>
          <w:b/>
          <w:sz w:val="20"/>
        </w:rPr>
      </w:pPr>
    </w:p>
    <w:p w:rsidR="00642BFA" w:rsidRDefault="00642BFA" w:rsidP="00642BFA">
      <w:pPr>
        <w:pStyle w:val="a3"/>
        <w:rPr>
          <w:rFonts w:ascii="微軟正黑體"/>
          <w:b/>
          <w:sz w:val="20"/>
        </w:rPr>
      </w:pPr>
    </w:p>
    <w:p w:rsidR="00642BFA" w:rsidRDefault="00642BFA" w:rsidP="00642BFA">
      <w:pPr>
        <w:pStyle w:val="a3"/>
        <w:rPr>
          <w:rFonts w:ascii="微軟正黑體"/>
          <w:b/>
          <w:sz w:val="20"/>
        </w:rPr>
      </w:pPr>
    </w:p>
    <w:p w:rsidR="00642BFA" w:rsidRDefault="00642BFA" w:rsidP="00642BFA">
      <w:pPr>
        <w:pStyle w:val="a3"/>
        <w:rPr>
          <w:rFonts w:ascii="微軟正黑體"/>
          <w:b/>
          <w:sz w:val="20"/>
        </w:rPr>
      </w:pPr>
    </w:p>
    <w:p w:rsidR="00642BFA" w:rsidRDefault="00642BFA" w:rsidP="00642BFA">
      <w:pPr>
        <w:pStyle w:val="a3"/>
        <w:rPr>
          <w:rFonts w:ascii="微軟正黑體"/>
          <w:b/>
          <w:sz w:val="20"/>
        </w:rPr>
      </w:pPr>
    </w:p>
    <w:p w:rsidR="00642BFA" w:rsidRDefault="00642BFA" w:rsidP="00642BFA">
      <w:pPr>
        <w:pStyle w:val="a3"/>
        <w:rPr>
          <w:rFonts w:ascii="微軟正黑體"/>
          <w:b/>
          <w:sz w:val="20"/>
        </w:rPr>
      </w:pPr>
    </w:p>
    <w:p w:rsidR="0043558B" w:rsidRDefault="00EF6AE7"/>
    <w:sectPr w:rsidR="0043558B" w:rsidSect="00642BFA">
      <w:pgSz w:w="16838" w:h="11906" w:orient="landscape"/>
      <w:pgMar w:top="709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AE7" w:rsidRDefault="00EF6AE7" w:rsidP="00B128E6">
      <w:r>
        <w:separator/>
      </w:r>
    </w:p>
  </w:endnote>
  <w:endnote w:type="continuationSeparator" w:id="0">
    <w:p w:rsidR="00EF6AE7" w:rsidRDefault="00EF6AE7" w:rsidP="00B12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AE7" w:rsidRDefault="00EF6AE7" w:rsidP="00B128E6">
      <w:r>
        <w:separator/>
      </w:r>
    </w:p>
  </w:footnote>
  <w:footnote w:type="continuationSeparator" w:id="0">
    <w:p w:rsidR="00EF6AE7" w:rsidRDefault="00EF6AE7" w:rsidP="00B128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FA"/>
    <w:rsid w:val="000B7EB2"/>
    <w:rsid w:val="00243CAA"/>
    <w:rsid w:val="00642BFA"/>
    <w:rsid w:val="00824D03"/>
    <w:rsid w:val="00B128E6"/>
    <w:rsid w:val="00EF6AE7"/>
    <w:rsid w:val="00F5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30AD73-3A8A-4CD3-B6A2-845DD687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42BFA"/>
    <w:pPr>
      <w:widowControl w:val="0"/>
      <w:autoSpaceDE w:val="0"/>
      <w:autoSpaceDN w:val="0"/>
    </w:pPr>
    <w:rPr>
      <w:rFonts w:ascii="細明體" w:eastAsia="細明體" w:hAnsi="細明體" w:cs="細明體"/>
      <w:kern w:val="0"/>
      <w:sz w:val="22"/>
      <w:lang w:val="zh-TW" w:bidi="zh-TW"/>
    </w:rPr>
  </w:style>
  <w:style w:type="paragraph" w:styleId="3">
    <w:name w:val="heading 3"/>
    <w:basedOn w:val="a"/>
    <w:link w:val="30"/>
    <w:uiPriority w:val="1"/>
    <w:qFormat/>
    <w:rsid w:val="00642BFA"/>
    <w:pPr>
      <w:spacing w:line="375" w:lineRule="exact"/>
      <w:ind w:left="1020"/>
      <w:outlineLvl w:val="2"/>
    </w:pPr>
    <w:rPr>
      <w:rFonts w:ascii="微軟正黑體" w:eastAsia="微軟正黑體" w:hAnsi="微軟正黑體" w:cs="微軟正黑體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1"/>
    <w:rsid w:val="00642BFA"/>
    <w:rPr>
      <w:rFonts w:ascii="微軟正黑體" w:eastAsia="微軟正黑體" w:hAnsi="微軟正黑體" w:cs="微軟正黑體"/>
      <w:b/>
      <w:bCs/>
      <w:kern w:val="0"/>
      <w:szCs w:val="24"/>
      <w:lang w:val="zh-TW" w:bidi="zh-TW"/>
    </w:rPr>
  </w:style>
  <w:style w:type="table" w:customStyle="1" w:styleId="TableNormal">
    <w:name w:val="Table Normal"/>
    <w:uiPriority w:val="2"/>
    <w:semiHidden/>
    <w:unhideWhenUsed/>
    <w:qFormat/>
    <w:rsid w:val="00642BFA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42BFA"/>
    <w:rPr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642BFA"/>
    <w:rPr>
      <w:rFonts w:ascii="細明體" w:eastAsia="細明體" w:hAnsi="細明體" w:cs="細明體"/>
      <w:kern w:val="0"/>
      <w:szCs w:val="24"/>
      <w:lang w:val="zh-TW" w:bidi="zh-TW"/>
    </w:rPr>
  </w:style>
  <w:style w:type="paragraph" w:customStyle="1" w:styleId="TableParagraph">
    <w:name w:val="Table Paragraph"/>
    <w:basedOn w:val="a"/>
    <w:uiPriority w:val="1"/>
    <w:qFormat/>
    <w:rsid w:val="00642BFA"/>
  </w:style>
  <w:style w:type="table" w:styleId="a5">
    <w:name w:val="Table Grid"/>
    <w:basedOn w:val="a1"/>
    <w:uiPriority w:val="39"/>
    <w:rsid w:val="00642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128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8E6"/>
    <w:rPr>
      <w:rFonts w:ascii="細明體" w:eastAsia="細明體" w:hAnsi="細明體" w:cs="細明體"/>
      <w:kern w:val="0"/>
      <w:sz w:val="20"/>
      <w:szCs w:val="20"/>
      <w:lang w:val="zh-TW" w:bidi="zh-TW"/>
    </w:rPr>
  </w:style>
  <w:style w:type="paragraph" w:styleId="a8">
    <w:name w:val="footer"/>
    <w:basedOn w:val="a"/>
    <w:link w:val="a9"/>
    <w:uiPriority w:val="99"/>
    <w:unhideWhenUsed/>
    <w:rsid w:val="00B128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8E6"/>
    <w:rPr>
      <w:rFonts w:ascii="細明體" w:eastAsia="細明體" w:hAnsi="細明體" w:cs="細明體"/>
      <w:kern w:val="0"/>
      <w:sz w:val="20"/>
      <w:szCs w:val="20"/>
      <w:lang w:val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2</cp:revision>
  <dcterms:created xsi:type="dcterms:W3CDTF">2019-06-28T07:02:00Z</dcterms:created>
  <dcterms:modified xsi:type="dcterms:W3CDTF">2019-06-28T07:02:00Z</dcterms:modified>
</cp:coreProperties>
</file>