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PONTIFÍCIA UNIVERSIDADE CATÓLICA DO RIO GRANDE DO SUL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COMPILADORES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Nomes: Diego Jornada¹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Isadora Kurtz²</w:t>
      </w:r>
    </w:p>
    <w:p w:rsidR="00000000" w:rsidDel="00000000" w:rsidP="00000000" w:rsidRDefault="00000000" w:rsidRPr="00000000">
      <w:pPr>
        <w:pBdr/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Marina Barros³</w:t>
      </w:r>
    </w:p>
    <w:p w:rsidR="00000000" w:rsidDel="00000000" w:rsidP="00000000" w:rsidRDefault="00000000" w:rsidRPr="00000000">
      <w:pPr>
        <w:pBdr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Descrição do Trabalho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trabalho tem como objetivo, a implementação dos analisadores léxico e sintático para a linguagem Minijava. Para isso, foi utilizado a gramática BNF for MiniJava que foi disponibilizada. Também foi implementado um sistema de tratamento de erros para entradas inválidas.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Léxico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Para o léxico foram utilizadas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-Palavras Reservadas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3248025" cy="4638675"/>
            <wp:effectExtent b="0" l="0" r="0" t="0"/>
            <wp:docPr descr="fig2.png" id="2" name="image5.png"/>
            <a:graphic>
              <a:graphicData uri="http://schemas.openxmlformats.org/drawingml/2006/picture">
                <pic:pic>
                  <pic:nvPicPr>
                    <pic:cNvPr descr="fig2.png"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-Tokens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3314700" cy="3895725"/>
            <wp:effectExtent b="0" l="0" r="0" t="0"/>
            <wp:docPr descr="fig3.png" id="3" name="image6.png"/>
            <a:graphic>
              <a:graphicData uri="http://schemas.openxmlformats.org/drawingml/2006/picture">
                <pic:pic>
                  <pic:nvPicPr>
                    <pic:cNvPr descr="fig3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Sintático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Programas Testes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Para utilizar o programa é necessário usar um Make File e os programas rodam de maneira iterativa ou recebendo um arquivo como entrada.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</w:t>
      </w:r>
      <w:r w:rsidDel="00000000" w:rsidR="00000000" w:rsidRPr="00000000">
        <w:drawing>
          <wp:inline distB="114300" distT="114300" distL="114300" distR="114300">
            <wp:extent cx="3978473" cy="2328863"/>
            <wp:effectExtent b="0" l="0" r="0" t="0"/>
            <wp:docPr descr="fig1.png" id="1" name="image2.png"/>
            <a:graphic>
              <a:graphicData uri="http://schemas.openxmlformats.org/drawingml/2006/picture">
                <pic:pic>
                  <pic:nvPicPr>
                    <pic:cNvPr descr="fig1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8473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¹  Matricula Diego</w:t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²  13104445</w:t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³  11104974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