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  <w:tblLook w:val="04a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UC07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Backup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Administrador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caso de uso Login executado com sucesso.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Criação da versão de backup dos dados atuais do sistema.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O objetivo é realizar a operação de backup d</w:t>
            </w:r>
            <w:r>
              <w:rPr>
                <w:rFonts w:cs="Arial" w:ascii="Arial" w:hAnsi="Arial"/>
              </w:rPr>
              <w:t>os dados</w:t>
            </w:r>
            <w:r>
              <w:rPr>
                <w:rFonts w:cs="Arial" w:ascii="Arial" w:hAnsi="Arial"/>
              </w:rPr>
              <w:t xml:space="preserve"> do sistema. O caso de uso começa quando o administrador clica no botão "Backup" para que o sistema possa criar um ponto de restauração.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Administrador logado clica no botão “Backup”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O s</w:t>
            </w:r>
            <w:bookmarkStart w:id="0" w:name="_GoBack"/>
            <w:bookmarkEnd w:id="0"/>
            <w:r>
              <w:rPr>
                <w:rFonts w:cs="Arial" w:ascii="Arial" w:hAnsi="Arial"/>
              </w:rPr>
              <w:t>istema salva a versão atual d</w:t>
            </w:r>
            <w:r>
              <w:rPr>
                <w:rFonts w:cs="Arial" w:ascii="Arial" w:hAnsi="Arial"/>
              </w:rPr>
              <w:t>os dados</w:t>
            </w:r>
            <w:r>
              <w:rPr>
                <w:rFonts w:cs="Arial" w:ascii="Arial" w:hAnsi="Arial"/>
              </w:rPr>
              <w:t>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62" w:type="dxa"/>
        <w:jc w:val="left"/>
        <w:tblInd w:w="-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70" w:type="dxa"/>
        </w:tblCellMar>
        <w:tblLook w:val="04a0"/>
      </w:tblPr>
      <w:tblGrid>
        <w:gridCol w:w="4866"/>
        <w:gridCol w:w="255"/>
        <w:gridCol w:w="5140"/>
      </w:tblGrid>
      <w:tr>
        <w:trPr>
          <w:cantSplit w:val="true"/>
        </w:trPr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</w:p>
        </w:tc>
      </w:tr>
      <w:tr>
        <w:trPr/>
        <w:tc>
          <w:tcPr>
            <w:tcW w:w="4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/>
            </w:r>
          </w:p>
        </w:tc>
        <w:tc>
          <w:tcPr>
            <w:tcW w:w="5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.</w:t>
            </w:r>
          </w:p>
        </w:tc>
      </w:tr>
      <w:tr>
        <w:trPr/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 xml:space="preserve">Fluxo alternativo: </w:t>
            </w:r>
          </w:p>
        </w:tc>
      </w:tr>
      <w:tr>
        <w:trPr/>
        <w:tc>
          <w:tcPr>
            <w:tcW w:w="51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>
        <w:trPr/>
        <w:tc>
          <w:tcPr>
            <w:tcW w:w="51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numPr>
                <w:ilvl w:val="0"/>
                <w:numId w:val="3"/>
              </w:numPr>
              <w:spacing w:before="0" w:after="120"/>
              <w:rPr/>
            </w:pPr>
            <w:r>
              <w:rPr/>
            </w:r>
          </w:p>
        </w:tc>
        <w:tc>
          <w:tcPr>
            <w:tcW w:w="5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0" w:type="dxa"/>
            </w:tcMar>
          </w:tcPr>
          <w:p>
            <w:pPr>
              <w:pStyle w:val="Standard"/>
              <w:numPr>
                <w:ilvl w:val="0"/>
                <w:numId w:val="3"/>
              </w:numPr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</w:rPr>
              <w:t>Esboço de interface com o usuário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32e5"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f0ab1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6f0ab1"/>
    <w:rPr/>
  </w:style>
  <w:style w:type="character" w:styleId="NumberingSymbols" w:customStyle="1">
    <w:name w:val="Numbering Symbols"/>
    <w:qFormat/>
    <w:rsid w:val="00ac32e5"/>
    <w:rPr/>
  </w:style>
  <w:style w:type="paragraph" w:styleId="Heading" w:customStyle="1">
    <w:name w:val="Heading"/>
    <w:basedOn w:val="Normal"/>
    <w:next w:val="TextBody"/>
    <w:qFormat/>
    <w:rsid w:val="006f0ab1"/>
    <w:pPr>
      <w:keepNext/>
      <w:widowControl w:val="fals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 w:customStyle="1">
    <w:name w:val="Text Body"/>
    <w:basedOn w:val="Normal"/>
    <w:rsid w:val="00ac32e5"/>
    <w:pPr>
      <w:spacing w:lineRule="auto" w:line="288" w:before="0" w:after="140"/>
    </w:pPr>
    <w:rPr/>
  </w:style>
  <w:style w:type="paragraph" w:styleId="List">
    <w:name w:val="List"/>
    <w:basedOn w:val="TextBody"/>
    <w:rsid w:val="006f0ab1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6f0ab1"/>
    <w:pPr>
      <w:widowControl w:val="false"/>
      <w:suppressLineNumbers/>
    </w:pPr>
    <w:rPr/>
  </w:style>
  <w:style w:type="paragraph" w:styleId="Ttulo11" w:customStyle="1">
    <w:name w:val="Título 11"/>
    <w:basedOn w:val="Heading"/>
    <w:qFormat/>
    <w:rsid w:val="006f0ab1"/>
    <w:pPr/>
    <w:rPr/>
  </w:style>
  <w:style w:type="paragraph" w:styleId="Ttulo21" w:customStyle="1">
    <w:name w:val="Título 21"/>
    <w:basedOn w:val="Heading"/>
    <w:qFormat/>
    <w:rsid w:val="006f0ab1"/>
    <w:pPr/>
    <w:rPr/>
  </w:style>
  <w:style w:type="paragraph" w:styleId="Ttulo31" w:customStyle="1">
    <w:name w:val="Título 31"/>
    <w:basedOn w:val="Heading"/>
    <w:qFormat/>
    <w:rsid w:val="006f0ab1"/>
    <w:pPr/>
    <w:rPr/>
  </w:style>
  <w:style w:type="paragraph" w:styleId="Legenda1" w:customStyle="1">
    <w:name w:val="Legenda1"/>
    <w:basedOn w:val="Normal"/>
    <w:qFormat/>
    <w:rsid w:val="006f0ab1"/>
    <w:pPr>
      <w:widowControl w:val="false"/>
      <w:suppressLineNumbers/>
      <w:spacing w:before="120" w:after="120"/>
    </w:pPr>
    <w:rPr>
      <w:i/>
      <w:iCs/>
      <w:szCs w:val="24"/>
    </w:rPr>
  </w:style>
  <w:style w:type="paragraph" w:styleId="Standard" w:customStyle="1">
    <w:name w:val="Standard"/>
    <w:qFormat/>
    <w:rsid w:val="006f0ab1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en-US" w:bidi="ar-SA"/>
    </w:rPr>
  </w:style>
  <w:style w:type="paragraph" w:styleId="Textbody1" w:customStyle="1">
    <w:name w:val="Text body"/>
    <w:basedOn w:val="Standard"/>
    <w:qFormat/>
    <w:rsid w:val="006f0ab1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6f0ab1"/>
    <w:pPr>
      <w:tabs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Standard"/>
    <w:qFormat/>
    <w:rsid w:val="006f0ab1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6f0ab1"/>
    <w:pPr>
      <w:ind w:left="720" w:hanging="0"/>
    </w:pPr>
    <w:rPr/>
  </w:style>
  <w:style w:type="paragraph" w:styleId="Quotations" w:customStyle="1">
    <w:name w:val="Quotations"/>
    <w:basedOn w:val="Standard"/>
    <w:qFormat/>
    <w:rsid w:val="006f0ab1"/>
    <w:pPr/>
    <w:rPr/>
  </w:style>
  <w:style w:type="paragraph" w:styleId="Title">
    <w:name w:val="Title"/>
    <w:basedOn w:val="Heading"/>
    <w:qFormat/>
    <w:rsid w:val="006f0ab1"/>
    <w:pPr/>
    <w:rPr/>
  </w:style>
  <w:style w:type="paragraph" w:styleId="Subtitle">
    <w:name w:val="Subtitle"/>
    <w:basedOn w:val="Heading"/>
    <w:qFormat/>
    <w:rsid w:val="006f0ab1"/>
    <w:pPr/>
    <w:rPr/>
  </w:style>
  <w:style w:type="paragraph" w:styleId="TableContents" w:customStyle="1">
    <w:name w:val="Table Contents"/>
    <w:basedOn w:val="Standard"/>
    <w:qFormat/>
    <w:rsid w:val="006f0ab1"/>
    <w:pPr/>
    <w:rPr/>
  </w:style>
  <w:style w:type="paragraph" w:styleId="TableHeading" w:customStyle="1">
    <w:name w:val="Table Heading"/>
    <w:basedOn w:val="TableContents"/>
    <w:qFormat/>
    <w:rsid w:val="006f0ab1"/>
    <w:pPr/>
    <w:rPr/>
  </w:style>
  <w:style w:type="numbering" w:styleId="NoList" w:default="1">
    <w:name w:val="No List"/>
    <w:uiPriority w:val="99"/>
    <w:semiHidden/>
    <w:unhideWhenUsed/>
  </w:style>
  <w:style w:type="numbering" w:styleId="Semlista1" w:customStyle="1">
    <w:name w:val="Sem lista1"/>
    <w:rsid w:val="006f0ab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LibreOffice/5.0.2.2$Linux_X86_64 LibreOffice_project/00m0$Build-2</Application>
  <Paragraphs>33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2015-10-23T23:57:21Z</dcterms:modified>
  <cp:revision>14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