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Heading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7E596921" w:rsidR="00176F79" w:rsidRDefault="00A25626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21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 w:rsidR="000F7DDC">
              <w:rPr>
                <w:rFonts w:asciiTheme="minorHAnsi" w:hAnsiTheme="minorHAnsi" w:cstheme="minorHAnsi"/>
                <w:lang w:val="es-CR"/>
              </w:rPr>
              <w:t>09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20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2FEECF86" w:rsidR="00176F79" w:rsidRDefault="000F7DD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30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1BEA97B4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0F7DDC">
              <w:rPr>
                <w:rFonts w:asciiTheme="minorHAnsi" w:hAnsiTheme="minorHAnsi" w:cstheme="minorHAnsi"/>
                <w:lang w:val="es-CR"/>
              </w:rPr>
              <w:t>45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14BDD2A0" w:rsidR="00C6138A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David Aguilar Rojas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1649E860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F3432A">
              <w:rPr>
                <w:rFonts w:asciiTheme="minorHAnsi" w:hAnsiTheme="minorHAnsi" w:cstheme="minorHAnsi"/>
                <w:lang w:val="es-CR"/>
              </w:rPr>
              <w:t>Listado de estudiantes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488587E9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F3432A">
              <w:rPr>
                <w:rFonts w:asciiTheme="minorHAnsi" w:hAnsiTheme="minorHAnsi" w:cstheme="minorHAnsi"/>
              </w:rPr>
              <w:t>1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Heading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  <w:t>lo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58220958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6BDD8C22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29644AED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01713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BE44B2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3B59B793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5C670A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</w:t>
            </w:r>
            <w:proofErr w:type="spellStart"/>
            <w:r w:rsidRPr="00DF7024">
              <w:rPr>
                <w:rFonts w:asciiTheme="minorHAnsi" w:eastAsia="ff1" w:hAnsiTheme="minorHAnsi" w:cstheme="minorHAnsi"/>
                <w:lang w:val="es-CR"/>
              </w:rPr>
              <w:t>Ej</w:t>
            </w:r>
            <w:proofErr w:type="spellEnd"/>
            <w:r w:rsidRPr="00DF7024">
              <w:rPr>
                <w:rFonts w:asciiTheme="minorHAnsi" w:eastAsia="ff1" w:hAnsiTheme="minorHAnsi" w:cstheme="minorHAnsi"/>
                <w:lang w:val="es-CR"/>
              </w:rPr>
              <w:t>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12EDA157" w:rsidR="00C6714B" w:rsidRPr="00D45944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B12DBF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44CFFEF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 en resoluciones pequeñas, no obstante será abarcado en próximos incrementos.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elementos más importantes son visibles sin </w:t>
            </w:r>
            <w:proofErr w:type="spellStart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scrolling</w:t>
            </w:r>
            <w:proofErr w:type="spellEnd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3460202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24DCFC8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7E6ABEB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418AA1B7" w:rsidR="00C6714B" w:rsidRPr="00C2454F" w:rsidRDefault="00534FD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1F69F2CE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BCD1653" w14:textId="1914EFDD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2CB78FD0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0C3A7B6B" w14:textId="26E394F4" w:rsidR="00C6714B" w:rsidRPr="00232850" w:rsidRDefault="00E97316" w:rsidP="000C1C89">
            <w:pPr>
              <w:rPr>
                <w:lang w:val="es-CR"/>
              </w:rPr>
            </w:pPr>
            <w:r>
              <w:rPr>
                <w:lang w:val="es-CR"/>
              </w:rPr>
              <w:t xml:space="preserve">En esta sección no es necesario rellenar obligatoriamente ningún campo. </w:t>
            </w: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lastRenderedPageBreak/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Heading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. no hay errores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javascript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clicks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El 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feedback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está actualizado, autorizado y es </w:t>
            </w:r>
            <w:proofErr w:type="spell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ﬁable</w:t>
            </w:r>
            <w:proofErr w:type="spell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términos usados para la navegación de los ítems y links no son ambiguos ni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especíﬁcos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Hacer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72B233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59FB880E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Todavía no se ha implementado ninguna interfaz que de inicio a al programa. </w:t>
            </w: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ntrol y </w:t>
            </w:r>
            <w:proofErr w:type="spellStart"/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Feedback</w:t>
            </w:r>
            <w:proofErr w:type="spellEnd"/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Se evita de forma general el uso de elementos que restringen la libertad y el control del usuario sobre la interfaz (pop-up, ventanas a pantalla Completa, animaciones que requieren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plugins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Es posible deshacer una acción ya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ﬁnalizada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siempre que sea una opción funcional y operativa..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una salida de la página, del proceso o de la estructura de la información: desconectar, cancelar,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inicio,etc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En caso de ser un proceso de varios pasos, es posible volver al paso/s anteriores del proceso para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modiﬁcarlos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pantalla es apropiada para los usuarios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ﬁnales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etiquetas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signiﬁcativas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, los colores usados en los fondos y el apropiado  uso de bordes y espacios en blanco ayudan a los usuarios a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identiﬁcar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fuentes usan colores con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7BA44C5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El logo de la organización está ubicado en el mismo lugar en todas las páginas y hacer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en el logo retorna al usuario a la página más lógica (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y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gráﬁcos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(como los botones) son efectivamente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presionables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interlineado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alineación es adecuada (que no sea alineación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justiﬁcada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de la web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3715178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web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no se ha implementado aún.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Existe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espacio entre los elementos de acción  (links, botones,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etc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) para prevenir que el usuario haga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Los mensajes de error son escritos en lenguaje sencillo y en el tono adecuado con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7D36C7B5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39986B8E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7EF8EDF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indica cómo solucionar error en la búsqueda, pero muestra que no existen registros.</w:t>
            </w: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342EC" w14:textId="77777777" w:rsidR="00AA1057" w:rsidRDefault="00AA1057" w:rsidP="008A4C7D">
      <w:r>
        <w:separator/>
      </w:r>
    </w:p>
  </w:endnote>
  <w:endnote w:type="continuationSeparator" w:id="0">
    <w:p w14:paraId="509A0DA6" w14:textId="77777777" w:rsidR="00AA1057" w:rsidRDefault="00AA1057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E8E10" w14:textId="77777777" w:rsidR="00AA1057" w:rsidRDefault="00AA1057" w:rsidP="008A4C7D">
      <w:r>
        <w:separator/>
      </w:r>
    </w:p>
  </w:footnote>
  <w:footnote w:type="continuationSeparator" w:id="0">
    <w:p w14:paraId="1FA72EE2" w14:textId="77777777" w:rsidR="00AA1057" w:rsidRDefault="00AA1057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B0A20"/>
    <w:rsid w:val="000C01FA"/>
    <w:rsid w:val="000C1C89"/>
    <w:rsid w:val="000F7DDC"/>
    <w:rsid w:val="00155F50"/>
    <w:rsid w:val="00162A36"/>
    <w:rsid w:val="00172AB0"/>
    <w:rsid w:val="00176F79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C07F2"/>
    <w:rsid w:val="002C2F4A"/>
    <w:rsid w:val="002C7D14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34FD6"/>
    <w:rsid w:val="00567616"/>
    <w:rsid w:val="00576D31"/>
    <w:rsid w:val="0059022E"/>
    <w:rsid w:val="005A51A3"/>
    <w:rsid w:val="005A5D4B"/>
    <w:rsid w:val="005B42B0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837DA8"/>
    <w:rsid w:val="00843A02"/>
    <w:rsid w:val="00886E15"/>
    <w:rsid w:val="00887D00"/>
    <w:rsid w:val="00892D71"/>
    <w:rsid w:val="008A4C7D"/>
    <w:rsid w:val="008B5E73"/>
    <w:rsid w:val="008D1CB7"/>
    <w:rsid w:val="00937300"/>
    <w:rsid w:val="009972AB"/>
    <w:rsid w:val="009A610B"/>
    <w:rsid w:val="009E0EE6"/>
    <w:rsid w:val="00A0698E"/>
    <w:rsid w:val="00A13D42"/>
    <w:rsid w:val="00A25626"/>
    <w:rsid w:val="00A3202E"/>
    <w:rsid w:val="00A90B11"/>
    <w:rsid w:val="00A97FD1"/>
    <w:rsid w:val="00AA1057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638C"/>
    <w:rsid w:val="00E90E4E"/>
    <w:rsid w:val="00E97316"/>
    <w:rsid w:val="00EC3A2B"/>
    <w:rsid w:val="00EC6575"/>
    <w:rsid w:val="00EF2D06"/>
    <w:rsid w:val="00F17608"/>
    <w:rsid w:val="00F3432A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Heading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Heading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D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e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10B"/>
  </w:style>
  <w:style w:type="paragraph" w:styleId="Footer">
    <w:name w:val="footer"/>
    <w:basedOn w:val="Normal"/>
    <w:link w:val="Foot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10B"/>
  </w:style>
  <w:style w:type="paragraph" w:styleId="ListParagraph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F433-59F6-4D97-B430-C8742E6D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2339</Words>
  <Characters>13335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david aguilar rojas</cp:lastModifiedBy>
  <cp:revision>23</cp:revision>
  <dcterms:created xsi:type="dcterms:W3CDTF">2020-03-09T04:07:00Z</dcterms:created>
  <dcterms:modified xsi:type="dcterms:W3CDTF">2020-09-30T20:38:00Z</dcterms:modified>
</cp:coreProperties>
</file>