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eastAsia="Microsoft YaHei" w:hAnsi="Arial"/>
          <w:b/>
          <w:bCs/>
          <w:sz w:val="52"/>
          <w:szCs w:val="52"/>
        </w:rPr>
        <w:t xml:space="preserve">OPC + 大模型 + Agent</w:t>
      </w:r>
    </w:p>
    <w:p>
      <w:pPr>
        <w:spacing w:after="100"/>
        <w:jc w:val="center"/>
      </w:pPr>
      <w:r>
        <w:rPr>
          <w:rFonts w:ascii="Arial" w:eastAsia="Microsoft YaHei" w:hAnsi="Arial"/>
          <w:b/>
          <w:bCs/>
          <w:sz w:val="40"/>
          <w:szCs w:val="40"/>
        </w:rPr>
        <w:t xml:space="preserve">竞品分析与参赛可行性报告</w:t>
      </w:r>
    </w:p>
    <w:p>
      <w:pPr>
        <w:spacing w:after="60"/>
        <w:jc w:val="center"/>
      </w:pPr>
      <w:r>
        <w:rPr>
          <w:rFonts w:ascii="Arial" w:eastAsia="Microsoft YaHei" w:hAnsi="Arial"/>
          <w:color w:val="555555"/>
          <w:sz w:val="26"/>
          <w:szCs w:val="26"/>
        </w:rPr>
        <w:t xml:space="preserve">—— 基于同济大学《AI的礼物》项目背景</w:t>
      </w:r>
    </w:p>
    <w:p>
      <w:pPr>
        <w:spacing w:before="600"/>
      </w:pPr>
    </w:p>
    <w:p>
      <w:pPr>
        <w:spacing w:after="80"/>
        <w:jc w:val="center"/>
      </w:pPr>
      <w:r>
        <w:rPr>
          <w:rFonts w:ascii="Arial" w:eastAsia="Microsoft YaHei" w:hAnsi="Arial"/>
          <w:color w:val="666666"/>
          <w:sz w:val="22"/>
          <w:szCs w:val="22"/>
        </w:rPr>
        <w:t xml:space="preserve">互联网+创新创业大赛参赛调研</w:t>
      </w:r>
    </w:p>
    <w:p>
      <w:pPr>
        <w:jc w:val="center"/>
      </w:pPr>
      <w:r>
        <w:rPr>
          <w:rFonts w:ascii="Arial" w:eastAsia="Microsoft YaHei" w:hAnsi="Arial"/>
          <w:color w:val="666666"/>
          <w:sz w:val="22"/>
          <w:szCs w:val="22"/>
        </w:rPr>
        <w:t xml:space="preserve">2026年4月</w:t>
      </w:r>
    </w:p>
    <w:p>
      <w:r>
        <w:br w:type="page"/>
      </w:r>
    </w:p>
    <w:p>
      <w:pPr>
        <w:pStyle w:val="Heading1"/>
        <w:spacing w:after="200" w:before="360"/>
      </w:pPr>
      <w:r>
        <w:rPr>
          <w:rFonts w:ascii="Arial" w:eastAsia="Microsoft YaHei" w:hAnsi="Arial"/>
          <w:b/>
          <w:bCs/>
          <w:sz w:val="36"/>
          <w:szCs w:val="36"/>
        </w:rPr>
        <w:t xml:space="preserve">一、项目背景与调研范围</w:t>
      </w:r>
    </w:p>
    <w:p>
      <w:pPr>
        <w:pStyle w:val="Heading2"/>
        <w:spacing w:after="160" w:before="280"/>
      </w:pPr>
      <w:r>
        <w:rPr>
          <w:rFonts w:ascii="Arial" w:eastAsia="Microsoft YaHei" w:hAnsi="Arial"/>
          <w:b/>
          <w:bCs/>
          <w:sz w:val="30"/>
          <w:szCs w:val="30"/>
        </w:rPr>
        <w:t xml:space="preserve">1.1 项目背景</w:t>
      </w:r>
    </w:p>
    <w:p>
      <w:pPr>
        <w:spacing w:after="120" w:line="360"/>
        <w:jc w:val="both"/>
      </w:pPr>
      <w:r>
        <w:rPr>
          <w:rFonts w:ascii="Arial" w:eastAsia="Microsoft YaHei" w:hAnsi="Arial"/>
          <w:sz w:val="22"/>
          <w:szCs w:val="22"/>
        </w:rPr>
        <w:t xml:space="preserve">本报告基于参加中国国际大学生创新创业大赛（“互联网+”）的需求，聚焦OPC UA（开放平台通信统一架构）、同济大学《AI的礼物》项目以及大模型与AI Agent技术，开展竞品分析与参赛可行性研究。</w:t>
      </w:r>
    </w:p>
    <w:p>
      <w:pPr>
        <w:spacing w:after="120" w:line="360"/>
        <w:jc w:val="both"/>
      </w:pPr>
      <w:r>
        <w:rPr>
          <w:rFonts w:ascii="Arial" w:eastAsia="Microsoft YaHei" w:hAnsi="Arial"/>
          <w:sz w:val="22"/>
          <w:szCs w:val="22"/>
        </w:rPr>
        <w:t xml:space="preserve">同济大学在AI赋能教育领域具有显著优势，已发布《人工智能赋能学科创新发展行动计划》，构建了“师-生-机”三元协同教学体系，并已开源CivilGPT土木工程大模型、Med-Go医学大模型等多个垂域模型。《AI的礼物》作为同济大学AI教育生态的重要组成部分，代表了以人工智能技术赋能工程教育与产业创新的前沿方向。</w:t>
      </w:r>
    </w:p>
    <w:p>
      <w:pPr>
        <w:pStyle w:val="Heading2"/>
        <w:spacing w:after="160" w:before="280"/>
      </w:pPr>
      <w:r>
        <w:rPr>
          <w:rFonts w:ascii="Arial" w:eastAsia="Microsoft YaHei" w:hAnsi="Arial"/>
          <w:b/>
          <w:bCs/>
          <w:sz w:val="30"/>
          <w:szCs w:val="30"/>
        </w:rPr>
        <w:t xml:space="preserve">1.2 调研范围</w:t>
      </w:r>
    </w:p>
    <w:p>
      <w:pPr>
        <w:spacing w:after="120" w:line="360"/>
        <w:jc w:val="both"/>
      </w:pPr>
      <w:r>
        <w:rPr>
          <w:rFonts w:ascii="Arial" w:eastAsia="Microsoft YaHei" w:hAnsi="Arial"/>
          <w:sz w:val="22"/>
          <w:szCs w:val="22"/>
        </w:rPr>
        <w:t xml:space="preserve">本次调研覆盖以下核心维度：</w:t>
      </w:r>
    </w:p>
    <w:p>
      <w:pPr>
        <w:spacing w:after="120" w:line="360"/>
        <w:jc w:val="both"/>
      </w:pPr>
      <w:r>
        <w:rPr>
          <w:rFonts w:ascii="Arial" w:eastAsia="Microsoft YaHei" w:hAnsi="Arial"/>
          <w:sz w:val="22"/>
          <w:szCs w:val="22"/>
        </w:rPr>
        <w:t xml:space="preserve">（1）竞品平台基本情况：平台定位、技术架构、核心功能</w:t>
      </w:r>
    </w:p>
    <w:p>
      <w:pPr>
        <w:spacing w:after="120" w:line="360"/>
        <w:jc w:val="both"/>
      </w:pPr>
      <w:r>
        <w:rPr>
          <w:rFonts w:ascii="Arial" w:eastAsia="Microsoft YaHei" w:hAnsi="Arial"/>
          <w:sz w:val="22"/>
          <w:szCs w:val="22"/>
        </w:rPr>
        <w:t xml:space="preserve">（2）用户规模：开发者数量、企业客户数、月活用户数</w:t>
      </w:r>
    </w:p>
    <w:p>
      <w:pPr>
        <w:spacing w:after="120" w:line="360"/>
        <w:jc w:val="both"/>
      </w:pPr>
      <w:r>
        <w:rPr>
          <w:rFonts w:ascii="Arial" w:eastAsia="Microsoft YaHei" w:hAnsi="Arial"/>
          <w:sz w:val="22"/>
          <w:szCs w:val="22"/>
        </w:rPr>
        <w:t xml:space="preserve">（3）内容生态：插件数量、模板丰富度、开源社区活跃度</w:t>
      </w:r>
    </w:p>
    <w:p>
      <w:pPr>
        <w:spacing w:after="120" w:line="360"/>
        <w:jc w:val="both"/>
      </w:pPr>
      <w:r>
        <w:rPr>
          <w:rFonts w:ascii="Arial" w:eastAsia="Microsoft YaHei" w:hAnsi="Arial"/>
          <w:sz w:val="22"/>
          <w:szCs w:val="22"/>
        </w:rPr>
        <w:t xml:space="preserve">（4）推荐机制：算法推荐、生态分发、流量导入</w:t>
      </w:r>
    </w:p>
    <w:p>
      <w:pPr>
        <w:spacing w:after="120" w:line="360"/>
        <w:jc w:val="both"/>
      </w:pPr>
      <w:r>
        <w:rPr>
          <w:rFonts w:ascii="Arial" w:eastAsia="Microsoft YaHei" w:hAnsi="Arial"/>
          <w:sz w:val="22"/>
          <w:szCs w:val="22"/>
        </w:rPr>
        <w:t xml:space="preserve">（5）商业化模式：收费结构、盈利模式、变现路径</w:t>
      </w:r>
    </w:p>
    <w:p>
      <w:pPr>
        <w:spacing w:after="120" w:line="360"/>
        <w:jc w:val="both"/>
      </w:pPr>
      <w:r>
        <w:rPr>
          <w:rFonts w:ascii="Arial" w:eastAsia="Microsoft YaHei" w:hAnsi="Arial"/>
          <w:sz w:val="22"/>
          <w:szCs w:val="22"/>
        </w:rPr>
        <w:t xml:space="preserve">（6）代表性案例：典型落地场景与成效</w:t>
      </w:r>
    </w:p>
    <w:p>
      <w:pPr>
        <w:spacing w:after="120" w:line="360"/>
        <w:jc w:val="both"/>
      </w:pPr>
      <w:r>
        <w:rPr>
          <w:rFonts w:ascii="Arial" w:eastAsia="Microsoft YaHei" w:hAnsi="Arial"/>
          <w:sz w:val="22"/>
          <w:szCs w:val="22"/>
        </w:rPr>
        <w:t xml:space="preserve">（7）差异化对比：用户群体、内容类型、增长策略、创新点</w:t>
      </w:r>
    </w:p>
    <w:p>
      <w:r>
        <w:br w:type="page"/>
      </w:r>
    </w:p>
    <w:p>
      <w:pPr>
        <w:pStyle w:val="Heading1"/>
        <w:spacing w:after="200" w:before="360"/>
      </w:pPr>
      <w:r>
        <w:rPr>
          <w:rFonts w:ascii="Arial" w:eastAsia="Microsoft YaHei" w:hAnsi="Arial"/>
          <w:b/>
          <w:bCs/>
          <w:sz w:val="36"/>
          <w:szCs w:val="36"/>
        </w:rPr>
        <w:t xml:space="preserve">二、市场概况与行业趋势</w:t>
      </w:r>
    </w:p>
    <w:p>
      <w:pPr>
        <w:pStyle w:val="Heading2"/>
        <w:spacing w:after="160" w:before="280"/>
      </w:pPr>
      <w:r>
        <w:rPr>
          <w:rFonts w:ascii="Arial" w:eastAsia="Microsoft YaHei" w:hAnsi="Arial"/>
          <w:b/>
          <w:bCs/>
          <w:sz w:val="30"/>
          <w:szCs w:val="30"/>
        </w:rPr>
        <w:t xml:space="preserve">2.1 全球AI Agent市场规模</w:t>
      </w:r>
    </w:p>
    <w:p>
      <w:pPr>
        <w:spacing w:after="120" w:line="360"/>
        <w:jc w:val="both"/>
      </w:pPr>
      <w:r>
        <w:rPr>
          <w:rFonts w:ascii="Arial" w:eastAsia="Microsoft YaHei" w:hAnsi="Arial"/>
          <w:sz w:val="22"/>
          <w:szCs w:val="22"/>
        </w:rPr>
        <w:t xml:space="preserve">2025年被业界称为AI Agent商业化爆发元年。据Gartner数据，全球AI智能体市场规模已突破8.5万亿元，中国市场年增长率达72.7%。全球AI Agent市场规模预计突破600亿美元，其中企业级用户占比超75%，印证了AI Agent从“对话工具”向“自主行动体”的转型。</w:t>
      </w:r>
    </w:p>
    <w:p>
      <w:pPr>
        <w:pStyle w:val="Heading2"/>
        <w:spacing w:after="160" w:before="280"/>
      </w:pPr>
      <w:r>
        <w:rPr>
          <w:rFonts w:ascii="Arial" w:eastAsia="Microsoft YaHei" w:hAnsi="Arial"/>
          <w:b/>
          <w:bCs/>
          <w:sz w:val="30"/>
          <w:szCs w:val="30"/>
        </w:rPr>
        <w:t xml:space="preserve">2.2 中国OPC UA工业互联网市场</w:t>
      </w:r>
    </w:p>
    <w:p>
      <w:pPr>
        <w:spacing w:after="120" w:line="360"/>
        <w:jc w:val="both"/>
      </w:pPr>
      <w:r>
        <w:rPr>
          <w:rFonts w:ascii="Arial" w:eastAsia="Microsoft YaHei" w:hAnsi="Arial"/>
          <w:sz w:val="22"/>
          <w:szCs w:val="22"/>
        </w:rPr>
        <w:t xml:space="preserve">中国工业互联网平台市场规模已突破3800亿元人民币，年均复合增长率维持18%以上，预计2025年将达约4500亿元。OPC UA数据展示平台市场规模2025年预计达51.4亿元，同比增长20.4%。截至2024年底，国内支持OPC UA的工业平台渗透率已达68.3%，云化平台市场份额持续提升。</w:t>
      </w:r>
    </w:p>
    <w:p>
      <w:pPr>
        <w:pStyle w:val="Heading2"/>
        <w:spacing w:after="160" w:before="280"/>
      </w:pPr>
      <w:r>
        <w:rPr>
          <w:rFonts w:ascii="Arial" w:eastAsia="Microsoft YaHei" w:hAnsi="Arial"/>
          <w:b/>
          <w:bCs/>
          <w:sz w:val="30"/>
          <w:szCs w:val="30"/>
        </w:rPr>
        <w:t xml:space="preserve">2.3 核心趋势</w:t>
      </w:r>
    </w:p>
    <w:p>
      <w:pPr>
        <w:spacing w:after="120" w:line="360"/>
        <w:jc w:val="both"/>
      </w:pPr>
      <w:r>
        <w:rPr>
          <w:rFonts w:ascii="Arial" w:eastAsia="Microsoft YaHei" w:hAnsi="Arial"/>
          <w:sz w:val="22"/>
          <w:szCs w:val="22"/>
        </w:rPr>
        <w:t xml:space="preserve">（1）多模态融合：60%的代表性产品已实现多模态自主决策</w:t>
      </w:r>
    </w:p>
    <w:p>
      <w:pPr>
        <w:spacing w:after="120" w:line="360"/>
        <w:jc w:val="both"/>
      </w:pPr>
      <w:r>
        <w:rPr>
          <w:rFonts w:ascii="Arial" w:eastAsia="Microsoft YaHei" w:hAnsi="Arial"/>
          <w:sz w:val="22"/>
          <w:szCs w:val="22"/>
        </w:rPr>
        <w:t xml:space="preserve">（2）行业垂直渗透：金融、医疗、制造三大领域落地最快，行业定制模型准确率较通用模型高20-30%</w:t>
      </w:r>
    </w:p>
    <w:p>
      <w:pPr>
        <w:spacing w:after="120" w:line="360"/>
        <w:jc w:val="both"/>
      </w:pPr>
      <w:r>
        <w:rPr>
          <w:rFonts w:ascii="Arial" w:eastAsia="Microsoft YaHei" w:hAnsi="Arial"/>
          <w:sz w:val="22"/>
          <w:szCs w:val="22"/>
        </w:rPr>
        <w:t xml:space="preserve">（3）工业智能体崛起：OPC UA与大模型融合成为工业4.0核心方向，西门子Industrial Copilot、中控UCS等产品已展示显著效果</w:t>
      </w:r>
    </w:p>
    <w:p>
      <w:pPr>
        <w:spacing w:after="120" w:line="360"/>
        <w:jc w:val="both"/>
      </w:pPr>
      <w:r>
        <w:rPr>
          <w:rFonts w:ascii="Arial" w:eastAsia="Microsoft YaHei" w:hAnsi="Arial"/>
          <w:sz w:val="22"/>
          <w:szCs w:val="22"/>
        </w:rPr>
        <w:t xml:space="preserve">（4）开源商业化：Dify、LangGraph等开源项目推出企业版增值服务，预计2026年开源衍生市场规模达58亿美元</w:t>
      </w:r>
    </w:p>
    <w:p>
      <w:r>
        <w:br w:type="page"/>
      </w:r>
    </w:p>
    <w:p>
      <w:pPr>
        <w:pStyle w:val="Heading1"/>
        <w:spacing w:after="200" w:before="360"/>
      </w:pPr>
      <w:r>
        <w:rPr>
          <w:rFonts w:ascii="Arial" w:eastAsia="Microsoft YaHei" w:hAnsi="Arial"/>
          <w:b/>
          <w:bCs/>
          <w:sz w:val="36"/>
          <w:szCs w:val="36"/>
        </w:rPr>
        <w:t xml:space="preserve">三、竞品平台基本情况对比</w:t>
      </w:r>
    </w:p>
    <w:p>
      <w:pPr>
        <w:spacing w:after="120" w:line="360"/>
        <w:jc w:val="both"/>
      </w:pPr>
      <w:r>
        <w:rPr>
          <w:rFonts w:ascii="Arial" w:eastAsia="Microsoft YaHei" w:hAnsi="Arial"/>
          <w:sz w:val="22"/>
          <w:szCs w:val="22"/>
        </w:rPr>
        <w:t xml:space="preserve">本章节选取国内外主流AI Agent平台进行对比分析，涵盖巨头生态型、专业技术型、开源型以及工业垂直型四大类别。</w:t>
      </w:r>
    </w:p>
    <w:p>
      <w:pPr>
        <w:pStyle w:val="Heading2"/>
        <w:spacing w:after="160" w:before="280"/>
      </w:pPr>
      <w:r>
        <w:rPr>
          <w:rFonts w:ascii="Arial" w:eastAsia="Microsoft YaHei" w:hAnsi="Arial"/>
          <w:b/>
          <w:bCs/>
          <w:sz w:val="30"/>
          <w:szCs w:val="30"/>
        </w:rPr>
        <w:t xml:space="preserve">3.1 巨头生态型平台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cantSplit/>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定位</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核心技术</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主要优势</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字节跳动 扣子Coze</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开发者导向的Agent构建平台</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可视化工作流+插件化架构，支持多模型接入</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内容生态集成、拖拽式开发、多平台分发</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 文心智能体</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基于文心大模型的全栈Agent开发工具</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零代码Prompt编排+低代码二次开发</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百度搜索/地图生态整合、企业服务集成</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腾讯 元器</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社交场景智能体平台</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混元大模型+3D虚拟形象生成</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微信/QQ生态集成、零代码配置</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阿里 百炼</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B端全行业Agent平台</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MCP工具链+开源生态</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铉钉办公场景、企业级安全</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华为 盘古Ultra</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基于国产算力的通用Agent</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135B稠密模型+7180亿MoE稀疏模型</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算力自主可控、政务领域优势</w:t>
            </w:r>
          </w:p>
        </w:tc>
      </w:tr>
    </w:tbl>
    <w:p>
      <w:pPr>
        <w:pStyle w:val="Heading2"/>
        <w:spacing w:after="160" w:before="280"/>
      </w:pPr>
      <w:r>
        <w:rPr>
          <w:rFonts w:ascii="Arial" w:eastAsia="Microsoft YaHei" w:hAnsi="Arial"/>
          <w:b/>
          <w:bCs/>
          <w:sz w:val="30"/>
          <w:szCs w:val="30"/>
        </w:rPr>
        <w:t xml:space="preserve">3.2 专业技术型与开源型平台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cantSplit/>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定位</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核心技术</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主要优势</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智谱清言</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科研与专业应用Agent</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GLM-4模型，32K长文本解析</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开源社区活跃、学术/法律准确率高92%</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开源LLM应用开发平台</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RAG检索增强+ReAct框架</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开源免费、可视化编排、模型中立</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LangGraph</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企业级多Agent编排框架</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DAG有向无环图+状态持久化</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断点续跑、人在回路、全链路监控</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CrewAI</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轻量级多Agent协作框架</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JSON角色配置+动态任务分配</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5分钟部署、开源免费、低门槛</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昆仑万维 天工SkyAgents</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中小企业低代码Agent平台</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自然语言描述+可视化拖拽</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零门槛、行业模板丰富、本地部署</w:t>
            </w:r>
          </w:p>
        </w:tc>
      </w:tr>
    </w:tbl>
    <w:p>
      <w:pPr>
        <w:pStyle w:val="Heading2"/>
        <w:spacing w:after="160" w:before="280"/>
      </w:pPr>
      <w:r>
        <w:rPr>
          <w:rFonts w:ascii="Arial" w:eastAsia="Microsoft YaHei" w:hAnsi="Arial"/>
          <w:b/>
          <w:bCs/>
          <w:sz w:val="30"/>
          <w:szCs w:val="30"/>
        </w:rPr>
        <w:t xml:space="preserve">3.3 工业垂直型平台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cantSplit/>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定位</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核心技术</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主要优势</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西门子 Industrial Copilot</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工业智能体系统</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大语言模型+跨行业知识</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生产效率提升最高50%、全球客户应用</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卡奥斯 COSMOPlat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工业互联网+工业智能体</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天智工业大模型</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注塑机工艺参数优化、双轮驱动</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远船智能 INOS Claw</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工业智能体平台</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OPC UA/MQTT/Modbus全协议支持</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全场景适配、五步落地法</w:t>
            </w:r>
          </w:p>
        </w:tc>
      </w:tr>
      <w:tr>
        <w:trPr>
          <w:cantSplit/>
        </w:trP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中控 UCS+TPT</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流程工业具身智能</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时间序列大模型+通用控制系统</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“一个机柜+一个模型”架构</w:t>
            </w:r>
          </w:p>
        </w:tc>
      </w:tr>
      <w:tr>
        <w:trPr>
          <w:cantSplit/>
        </w:trPr>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朗坤智慧</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工业大模型设备预警</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大模型+设备预测性维护</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全国工业互联网大赛总冠军</w:t>
            </w:r>
          </w:p>
        </w:tc>
      </w:tr>
    </w:tbl>
    <w:p>
      <w:r>
        <w:br w:type="page"/>
      </w:r>
    </w:p>
    <w:p>
      <w:pPr>
        <w:pStyle w:val="Heading1"/>
        <w:spacing w:after="200" w:before="360"/>
      </w:pPr>
      <w:r>
        <w:rPr>
          <w:rFonts w:ascii="Arial" w:eastAsia="Microsoft YaHei" w:hAnsi="Arial"/>
          <w:b/>
          <w:bCs/>
          <w:sz w:val="36"/>
          <w:szCs w:val="36"/>
        </w:rPr>
        <w:t xml:space="preserve">四、用户规模与内容生态分析</w:t>
      </w:r>
    </w:p>
    <w:p>
      <w:pPr>
        <w:pStyle w:val="Heading2"/>
        <w:spacing w:after="160" w:before="280"/>
      </w:pPr>
      <w:r>
        <w:rPr>
          <w:rFonts w:ascii="Arial" w:eastAsia="Microsoft YaHei" w:hAnsi="Arial"/>
          <w:b/>
          <w:bCs/>
          <w:sz w:val="30"/>
          <w:szCs w:val="30"/>
        </w:rPr>
        <w:t xml:space="preserve">4.1 用户规模对比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rPr>
          <w:cantSplit/>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开发者/用户规模</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企业客户</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月活用户</w:t>
            </w:r>
          </w:p>
        </w:tc>
        <w:tc>
          <w:tcPr>
            <w:tcW w:type="dxa" w:w="2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行业渗透率</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字节跳动 扣子Coze</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开发者超300万</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超8万家</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豆包月活1.8亿</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电商Agent渗透37%</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 文心智能体</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开发者超200万</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付费企业超5万家</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文心一言月活数千万</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开发者增长17倍</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腾讯 元器</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开发者数十万级</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企业客户数万家</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微信生态触达数亿级</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社交场景渗透率高</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阿里 百炼</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服务30余万企业</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铉钉生态企业客户</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办公场景触达千万</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B端市场份额约22%</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智谱清言</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开源社区数十万</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技术型企业客户</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专业用户百万级</w:t>
            </w:r>
          </w:p>
        </w:tc>
        <w:tc>
          <w:tcPr>
            <w:tcW w:type="dxa" w:w="21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科研/法律渗透率高</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GitHub Star数十万</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企业版客户数千家</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开发者社区活跃</w:t>
            </w:r>
          </w:p>
        </w:tc>
        <w:tc>
          <w:tcPr>
            <w:tcW w:type="dxa" w:w="2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中小企业市场占比高</w:t>
            </w:r>
          </w:p>
        </w:tc>
      </w:tr>
    </w:tbl>
    <w:p>
      <w:pPr>
        <w:pStyle w:val="Heading2"/>
        <w:spacing w:after="160" w:before="280"/>
      </w:pPr>
      <w:r>
        <w:rPr>
          <w:rFonts w:ascii="Arial" w:eastAsia="Microsoft YaHei" w:hAnsi="Arial"/>
          <w:b/>
          <w:bCs/>
          <w:sz w:val="30"/>
          <w:szCs w:val="30"/>
        </w:rPr>
        <w:t xml:space="preserve">4.2 内容生态对比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800"/>
        <w:gridCol w:w="1960"/>
      </w:tblGrid>
      <w:tr>
        <w:trPr>
          <w:cantSplit/>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插件/工具数量</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模板丰富度</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开源社区</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生态特点</w:t>
            </w:r>
          </w:p>
        </w:tc>
      </w:tr>
      <w:tr>
        <w:trPr>
          <w:cantSplit/>
        </w:trPr>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扣子Coze</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1000+插件、200+模板</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涵盖支付、地图、CRM等全品类</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开发者社区活跃</w:t>
            </w:r>
          </w:p>
        </w:tc>
        <w:tc>
          <w:tcPr>
            <w:tcW w:type="dxa" w:w="1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拖音生态集成、内容营销优势</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文心智能体</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百度搜索/地图/文库集成</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内置多场景模板</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开发者增长快速</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企业服务集成、本地生活</w:t>
            </w:r>
          </w:p>
        </w:tc>
      </w:tr>
      <w:tr>
        <w:trPr>
          <w:cantSplit/>
        </w:trPr>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元器</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微信/QQ/小程序工具</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社交/教育/游戏场景模板</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社交生态驱动</w:t>
            </w:r>
          </w:p>
        </w:tc>
        <w:tc>
          <w:tcPr>
            <w:tcW w:type="dxa" w:w="1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3D虚拟形象、社交基因</w:t>
            </w:r>
          </w:p>
        </w:tc>
      </w:tr>
      <w:tr>
        <w:trPr>
          <w:cantSplit/>
        </w:trP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50+内置工具</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开源社区模板库</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GitHub社区活跃</w:t>
            </w:r>
          </w:p>
        </w:tc>
        <w:tc>
          <w:tcPr>
            <w:tcW w:type="dxa" w:w="1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开源免费、模型中立</w:t>
            </w:r>
          </w:p>
        </w:tc>
      </w:tr>
      <w:tr>
        <w:trPr>
          <w:cantSplit/>
        </w:trPr>
        <w:tc>
          <w:tcPr>
            <w:tcW w:type="dxa" w:w="1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智谱清言</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1200+开放API</w:t>
            </w:r>
          </w:p>
        </w:tc>
        <w:tc>
          <w:tcPr>
            <w:tcW w:type="dxa" w:w="20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学术/法律专业模板</w:t>
            </w:r>
          </w:p>
        </w:tc>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Jupyter Notebook示例</w:t>
            </w:r>
          </w:p>
        </w:tc>
        <w:tc>
          <w:tcPr>
            <w:tcW w:type="dxa" w:w="19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长文本处理、开源兼容</w:t>
            </w:r>
          </w:p>
        </w:tc>
      </w:tr>
    </w:tbl>
    <w:p>
      <w:r>
        <w:br w:type="page"/>
      </w:r>
    </w:p>
    <w:p>
      <w:pPr>
        <w:pStyle w:val="Heading1"/>
        <w:spacing w:after="200" w:before="360"/>
      </w:pPr>
      <w:r>
        <w:rPr>
          <w:rFonts w:ascii="Arial" w:eastAsia="Microsoft YaHei" w:hAnsi="Arial"/>
          <w:b/>
          <w:bCs/>
          <w:sz w:val="36"/>
          <w:szCs w:val="36"/>
        </w:rPr>
        <w:t xml:space="preserve">五、推荐机制与商业化模式对比</w:t>
      </w:r>
    </w:p>
    <w:p>
      <w:pPr>
        <w:pStyle w:val="Heading2"/>
        <w:spacing w:after="160" w:before="280"/>
      </w:pPr>
      <w:r>
        <w:rPr>
          <w:rFonts w:ascii="Arial" w:eastAsia="Microsoft YaHei" w:hAnsi="Arial"/>
          <w:b/>
          <w:bCs/>
          <w:sz w:val="30"/>
          <w:szCs w:val="30"/>
        </w:rPr>
        <w:t xml:space="preserve">5.1 推荐与分发机制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cantSplit/>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推荐机制</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分发渠道</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流量获取方式</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扣子Coze</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基于算法推荐+热度排序</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抖音、飞书、微信等6大平台</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字节生态流量导入+自然增长</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文心智能体</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百度搜索结果整合+智能匹配</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百度搜索、小度、一言、车机等</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百度搜索流量+知名度导入</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元器</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社交关系链推荐+场景化匹配</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QQ、微信、小程序</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微信/QQ社交网络效应</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百炼</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铉钉办公场景推荐</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铉钉、阿里云生态</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企业级客户转化</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开源社区口碑传播</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自托管、私有化部署</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开源社区自然增长</w:t>
            </w:r>
          </w:p>
        </w:tc>
      </w:tr>
    </w:tbl>
    <w:p>
      <w:pPr>
        <w:pStyle w:val="Heading2"/>
        <w:spacing w:after="160" w:before="280"/>
      </w:pPr>
      <w:r>
        <w:rPr>
          <w:rFonts w:ascii="Arial" w:eastAsia="Microsoft YaHei" w:hAnsi="Arial"/>
          <w:b/>
          <w:bCs/>
          <w:sz w:val="30"/>
          <w:szCs w:val="30"/>
        </w:rPr>
        <w:t xml:space="preserve">5.2 商业化模式对比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cantSplit/>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收费模式</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盈利模式</w:t>
            </w:r>
          </w:p>
        </w:tc>
        <w:tc>
          <w:tcPr>
            <w:tcW w:type="dxa" w:w="2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变现路径</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扣子Coze</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免费+专业版订阅</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平台订阅+企业服务</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插件市场、企业定制、流量变现</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文心智能体</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免费+调用计费+商业三件套</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“链接挂载+线索收集+商品卡”</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广告、知识付费、企业服务</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元器</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免费+企业版订阅</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社交场景变现</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微信生态变现、企业服务</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百炼</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按调用量计费+企业套餐</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云服务+平台订阅</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铉钉生态、企业定制</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开源免费+云服务+企业版</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云服务订阅+企业版授权</w:t>
            </w:r>
          </w:p>
        </w:tc>
        <w:tc>
          <w:tcPr>
            <w:tcW w:type="dxa" w:w="2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云服务、技术咨询、企业版</w:t>
            </w:r>
          </w:p>
        </w:tc>
      </w:tr>
    </w:tbl>
    <w:p>
      <w:r>
        <w:br w:type="page"/>
      </w:r>
    </w:p>
    <w:p>
      <w:pPr>
        <w:pStyle w:val="Heading1"/>
        <w:spacing w:after="200" w:before="360"/>
      </w:pPr>
      <w:r>
        <w:rPr>
          <w:rFonts w:ascii="Arial" w:eastAsia="Microsoft YaHei" w:hAnsi="Arial"/>
          <w:b/>
          <w:bCs/>
          <w:sz w:val="36"/>
          <w:szCs w:val="36"/>
        </w:rPr>
        <w:t xml:space="preserve">六、代表性案例分析</w:t>
      </w:r>
    </w:p>
    <w:p>
      <w:pPr>
        <w:pStyle w:val="Heading2"/>
        <w:spacing w:after="160" w:before="280"/>
      </w:pPr>
      <w:r>
        <w:rPr>
          <w:rFonts w:ascii="Arial" w:eastAsia="Microsoft YaHei" w:hAnsi="Arial"/>
          <w:b/>
          <w:bCs/>
          <w:sz w:val="30"/>
          <w:szCs w:val="30"/>
        </w:rPr>
        <w:t xml:space="preserve">6.1 工业场景案例</w:t>
      </w:r>
    </w:p>
    <w:p>
      <w:pPr>
        <w:pStyle w:val="Heading3"/>
        <w:spacing w:after="120" w:before="200"/>
      </w:pPr>
      <w:r>
        <w:rPr>
          <w:rFonts w:ascii="Arial" w:eastAsia="Microsoft YaHei" w:hAnsi="Arial"/>
          <w:b/>
          <w:bCs/>
          <w:sz w:val="26"/>
          <w:szCs w:val="26"/>
        </w:rPr>
        <w:t xml:space="preserve">（1）西门子 Industrial Copilot</w:t>
      </w:r>
    </w:p>
    <w:p>
      <w:pPr>
        <w:spacing w:after="120" w:line="360"/>
        <w:jc w:val="both"/>
      </w:pPr>
      <w:r>
        <w:rPr>
          <w:rFonts w:ascii="Arial" w:eastAsia="Microsoft YaHei" w:hAnsi="Arial"/>
          <w:sz w:val="22"/>
          <w:szCs w:val="22"/>
        </w:rPr>
        <w:t xml:space="preserve">西门子在2025世界人工智能大会上公开展示其Industrial Copilot智能体系统，通过融合大语言模型与跨行业知识，能自主执行复杂工业流程。该系统已在其自有工厂及全球客户项目中应用，预计可为客户提升生产效率最高50%。</w:t>
      </w:r>
    </w:p>
    <w:p>
      <w:pPr>
        <w:pStyle w:val="Heading3"/>
        <w:spacing w:after="120" w:before="200"/>
      </w:pPr>
      <w:r>
        <w:rPr>
          <w:rFonts w:ascii="Arial" w:eastAsia="Microsoft YaHei" w:hAnsi="Arial"/>
          <w:b/>
          <w:bCs/>
          <w:sz w:val="26"/>
          <w:szCs w:val="26"/>
        </w:rPr>
        <w:t xml:space="preserve">（2）朗坤智慧 工业大模型设备预警</w:t>
      </w:r>
    </w:p>
    <w:p>
      <w:pPr>
        <w:spacing w:after="120" w:line="360"/>
        <w:jc w:val="both"/>
      </w:pPr>
      <w:r>
        <w:rPr>
          <w:rFonts w:ascii="Arial" w:eastAsia="Microsoft YaHei" w:hAnsi="Arial"/>
          <w:sz w:val="22"/>
          <w:szCs w:val="22"/>
        </w:rPr>
        <w:t xml:space="preserve">朗坤智慧凭借自主研发的《基于大模型的煤机设备预警分析智能体方案》，从700余个项目中脱颖而出，荣获全国工业互联网大赛总冠军。该方案将大模型与工业设备数据深度融合，实现了设备故障的提前预警与智能分析。</w:t>
      </w:r>
    </w:p>
    <w:p>
      <w:pPr>
        <w:pStyle w:val="Heading3"/>
        <w:spacing w:after="120" w:before="200"/>
      </w:pPr>
      <w:r>
        <w:rPr>
          <w:rFonts w:ascii="Arial" w:eastAsia="Microsoft YaHei" w:hAnsi="Arial"/>
          <w:b/>
          <w:bCs/>
          <w:sz w:val="26"/>
          <w:szCs w:val="26"/>
        </w:rPr>
        <w:t xml:space="preserve">（3）远船智能 INOS Claw智立方</w:t>
      </w:r>
    </w:p>
    <w:p>
      <w:pPr>
        <w:spacing w:after="120" w:line="360"/>
        <w:jc w:val="both"/>
      </w:pPr>
      <w:r>
        <w:rPr>
          <w:rFonts w:ascii="Arial" w:eastAsia="Microsoft YaHei" w:hAnsi="Arial"/>
          <w:sz w:val="22"/>
          <w:szCs w:val="22"/>
        </w:rPr>
        <w:t xml:space="preserve">支持OPC UA、MQTT、Modbus等全工业协议，无缝对接PLC、SCADA、MES、WMS等主流工业系统。采用“分析-训练-验证-受控执行-复制推广”五步落地法，已覆盖造纸、装备、能源、烟草、医药等多行业场景。</w:t>
      </w:r>
    </w:p>
    <w:p>
      <w:pPr>
        <w:pStyle w:val="Heading2"/>
        <w:spacing w:after="160" w:before="280"/>
      </w:pPr>
      <w:r>
        <w:rPr>
          <w:rFonts w:ascii="Arial" w:eastAsia="Microsoft YaHei" w:hAnsi="Arial"/>
          <w:b/>
          <w:bCs/>
          <w:sz w:val="30"/>
          <w:szCs w:val="30"/>
        </w:rPr>
        <w:t xml:space="preserve">6.2 教育场景案例</w:t>
      </w:r>
    </w:p>
    <w:p>
      <w:pPr>
        <w:pStyle w:val="Heading3"/>
        <w:spacing w:after="120" w:before="200"/>
      </w:pPr>
      <w:r>
        <w:rPr>
          <w:rFonts w:ascii="Arial" w:eastAsia="Microsoft YaHei" w:hAnsi="Arial"/>
          <w:b/>
          <w:bCs/>
          <w:sz w:val="26"/>
          <w:szCs w:val="26"/>
        </w:rPr>
        <w:t xml:space="preserve">（1）同济大学 CivilGPT</w:t>
      </w:r>
    </w:p>
    <w:p>
      <w:pPr>
        <w:spacing w:after="120" w:line="360"/>
        <w:jc w:val="both"/>
      </w:pPr>
      <w:r>
        <w:rPr>
          <w:rFonts w:ascii="Arial" w:eastAsia="Microsoft YaHei" w:hAnsi="Arial"/>
          <w:sz w:val="22"/>
          <w:szCs w:val="22"/>
        </w:rPr>
        <w:t xml:space="preserve">同济大学土木工程学院自主研发的国内首个经国家网信办备案的教育领域生成式AI大模型。基于90亿token的高质量专业语料库和55门核心课程知识图谱，已入选教育部第三批“人工智能+高等教育”典型案例。</w:t>
      </w:r>
    </w:p>
    <w:p>
      <w:pPr>
        <w:pStyle w:val="Heading3"/>
        <w:spacing w:after="120" w:before="200"/>
      </w:pPr>
      <w:r>
        <w:rPr>
          <w:rFonts w:ascii="Arial" w:eastAsia="Microsoft YaHei" w:hAnsi="Arial"/>
          <w:b/>
          <w:bCs/>
          <w:sz w:val="26"/>
          <w:szCs w:val="26"/>
        </w:rPr>
        <w:t xml:space="preserve">（2）同济大学 Med-Go医学大模型</w:t>
      </w:r>
    </w:p>
    <w:p>
      <w:pPr>
        <w:spacing w:after="120" w:line="360"/>
        <w:jc w:val="both"/>
      </w:pPr>
      <w:r>
        <w:rPr>
          <w:rFonts w:ascii="Arial" w:eastAsia="Microsoft YaHei" w:hAnsi="Arial"/>
          <w:sz w:val="22"/>
          <w:szCs w:val="22"/>
        </w:rPr>
        <w:t xml:space="preserve">同济大学与附属东方医院联合开源的通用医学基座模型Med-Go-32B，为专病专科模型与临床智能体提供“可插拔式”能力支撑。</w:t>
      </w:r>
    </w:p>
    <w:p>
      <w:pPr>
        <w:pStyle w:val="Heading2"/>
        <w:spacing w:after="160" w:before="280"/>
      </w:pPr>
      <w:r>
        <w:rPr>
          <w:rFonts w:ascii="Arial" w:eastAsia="Microsoft YaHei" w:hAnsi="Arial"/>
          <w:b/>
          <w:bCs/>
          <w:sz w:val="30"/>
          <w:szCs w:val="30"/>
        </w:rPr>
        <w:t xml:space="preserve">6.3 零售电商案例</w:t>
      </w:r>
    </w:p>
    <w:p>
      <w:pPr>
        <w:pStyle w:val="Heading3"/>
        <w:spacing w:after="120" w:before="200"/>
      </w:pPr>
      <w:r>
        <w:rPr>
          <w:rFonts w:ascii="Arial" w:eastAsia="Microsoft YaHei" w:hAnsi="Arial"/>
          <w:b/>
          <w:bCs/>
          <w:sz w:val="26"/>
          <w:szCs w:val="26"/>
        </w:rPr>
        <w:t xml:space="preserve">（1）百丽国际 AI Agent矩阵</w:t>
      </w:r>
    </w:p>
    <w:p>
      <w:pPr>
        <w:spacing w:after="120" w:line="360"/>
        <w:jc w:val="both"/>
      </w:pPr>
      <w:r>
        <w:rPr>
          <w:rFonts w:ascii="Arial" w:eastAsia="Microsoft YaHei" w:hAnsi="Arial"/>
          <w:sz w:val="22"/>
          <w:szCs w:val="22"/>
        </w:rPr>
        <w:t xml:space="preserve">基于BetterYeah AI构建全链路AI Agent矩阵，包括“货品AI助理”和“店铺AI助理”，覆盖250+货品流程和350+门店运营环节，已规模化应用于800+业务子节点，入选《大鲸榜·消费零售GenAI最强落地案例TOP10》。</w:t>
      </w:r>
    </w:p>
    <w:p>
      <w:r>
        <w:br w:type="page"/>
      </w:r>
    </w:p>
    <w:p>
      <w:pPr>
        <w:pStyle w:val="Heading1"/>
        <w:spacing w:after="200" w:before="360"/>
      </w:pPr>
      <w:r>
        <w:rPr>
          <w:rFonts w:ascii="Arial" w:eastAsia="Microsoft YaHei" w:hAnsi="Arial"/>
          <w:b/>
          <w:bCs/>
          <w:sz w:val="36"/>
          <w:szCs w:val="36"/>
        </w:rPr>
        <w:t xml:space="preserve">七、平台差异化对比</w:t>
      </w:r>
    </w:p>
    <w:p>
      <w:pPr>
        <w:pStyle w:val="Heading2"/>
        <w:spacing w:after="160" w:before="280"/>
      </w:pPr>
      <w:r>
        <w:rPr>
          <w:rFonts w:ascii="Arial" w:eastAsia="Microsoft YaHei" w:hAnsi="Arial"/>
          <w:b/>
          <w:bCs/>
          <w:sz w:val="30"/>
          <w:szCs w:val="30"/>
        </w:rPr>
        <w:t xml:space="preserve">7.1 用户群体差异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cantSplit/>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平台类型</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核心用户群体</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用户特征</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典型场景</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巨头生态型（扣子/文心/元器）</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C端个人用户+中小企业</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技术门槛低、追求快速落地</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内容创作、客服自动化、社交营销</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专业技术型（智谱/Dify）</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开发者+技术团队</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具备编程能力、追求定制化</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科研辅助、企业应用开发</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企业级平台（百炼/BetterYeah）</w:t>
            </w:r>
          </w:p>
        </w:tc>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大中型企业</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重视安全合规、追求规模化</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办公自动化、企业数字化</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工业垂直型（西门子/卡奥斯）</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工业企业</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重视可靠性、实时性、安全性</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智能制造、设备维护、质量检测</w:t>
            </w:r>
          </w:p>
        </w:tc>
      </w:tr>
    </w:tbl>
    <w:p>
      <w:pPr>
        <w:pStyle w:val="Heading2"/>
        <w:spacing w:after="160" w:before="280"/>
      </w:pPr>
      <w:r>
        <w:rPr>
          <w:rFonts w:ascii="Arial" w:eastAsia="Microsoft YaHei" w:hAnsi="Arial"/>
          <w:b/>
          <w:bCs/>
          <w:sz w:val="30"/>
          <w:szCs w:val="30"/>
        </w:rPr>
        <w:t xml:space="preserve">7.2 内容类型差异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560"/>
      </w:tblGrid>
      <w:tr>
        <w:trPr>
          <w:cantSplit/>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平台类型</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主要内容类型</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内容生产方式</w:t>
            </w:r>
          </w:p>
        </w:tc>
        <w:tc>
          <w:tcPr>
            <w:tcW w:type="dxa" w:w="2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内容质量控制</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巨头生态型</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通用对话、内容生成、生活服务</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用户自创+平台模板</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平台审核+算法监控</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专业技术型</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专业文档、代码生成、科研分析</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开发者定制+开源社区</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代码审查+社区评审</w:t>
            </w:r>
          </w:p>
        </w:tc>
      </w:tr>
      <w:tr>
        <w:trPr>
          <w:cantSplit/>
        </w:trPr>
        <w:tc>
          <w:tcPr>
            <w:tcW w:type="dxa" w:w="18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企业级平台</w:t>
            </w:r>
          </w:p>
        </w:tc>
        <w:tc>
          <w:tcPr>
            <w:tcW w:type="dxa" w:w="26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企业工作流、知识管理、数据分析</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企业定制+行业模板</w:t>
            </w:r>
          </w:p>
        </w:tc>
        <w:tc>
          <w:tcPr>
            <w:tcW w:type="dxa" w:w="2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企业内部审核+合规检查</w:t>
            </w:r>
          </w:p>
        </w:tc>
      </w:tr>
      <w:tr>
        <w:trPr>
          <w:cantSplit/>
        </w:trP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工业垂直型</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工业数据分析、设备预警、工艺优化</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行业专家+工业数据</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行业标准+安全认证</w:t>
            </w:r>
          </w:p>
        </w:tc>
      </w:tr>
    </w:tbl>
    <w:p>
      <w:pPr>
        <w:pStyle w:val="Heading2"/>
        <w:spacing w:after="160" w:before="280"/>
      </w:pPr>
      <w:r>
        <w:rPr>
          <w:rFonts w:ascii="Arial" w:eastAsia="Microsoft YaHei" w:hAnsi="Arial"/>
          <w:b/>
          <w:bCs/>
          <w:sz w:val="30"/>
          <w:szCs w:val="30"/>
        </w:rPr>
        <w:t xml:space="preserve">7.3 增长策略与创新点差异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cantSplit/>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平台</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增长策略</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核心创新点</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扣子Coze</w:t>
            </w:r>
          </w:p>
        </w:tc>
        <w:tc>
          <w:tcPr>
            <w:tcW w:type="dxa" w:w="3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内容生态集成+多平台分发+开发者社区</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拖拽式工作流、零代码Agent创建、电商场景深度集成</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文心智能体</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百度生态流量导入+“商业三件套”变现</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搜索知识图谱整合、多模态交互、全栈工具链</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元器</w:t>
            </w:r>
          </w:p>
        </w:tc>
        <w:tc>
          <w:tcPr>
            <w:tcW w:type="dxa" w:w="3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微信/QQ社交网络效应+3D虚拟形象</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社交场景原生集成、零代码配置、虚拟形象生成</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百炼</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铉钉生态企业客户转化+MCP工具链</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企业级安全、开源生态、全行业覆盖</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智谱清言</w:t>
            </w:r>
          </w:p>
        </w:tc>
        <w:tc>
          <w:tcPr>
            <w:tcW w:type="dxa" w:w="3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开源社区口碑+学术/专业场景深耕</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GLM-4开源、长文本处理、专业领域高准确率</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Dify</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开源社区增长+云服务订阅</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开源免费、模型中立、RAG管道、可视化编排</w:t>
            </w:r>
          </w:p>
        </w:tc>
      </w:tr>
      <w:tr>
        <w:trPr>
          <w:cantSplit/>
        </w:trPr>
        <w:tc>
          <w:tcPr>
            <w:tcW w:type="dxa" w:w="22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西门子 Industrial Copilot</w:t>
            </w:r>
          </w:p>
        </w:tc>
        <w:tc>
          <w:tcPr>
            <w:tcW w:type="dxa" w:w="3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工业客户深度绑定+全球化布局</w:t>
            </w:r>
          </w:p>
        </w:tc>
        <w:tc>
          <w:tcPr>
            <w:tcW w:type="dxa" w:w="37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工业知识融合、生产效率提升最高50%</w:t>
            </w:r>
          </w:p>
        </w:tc>
      </w:tr>
      <w:tr>
        <w:trPr>
          <w:cantSplit/>
        </w:trP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朗坤智慧</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工业互联网大赛品牌+行业解决方案</w:t>
            </w:r>
          </w:p>
        </w:tc>
        <w:tc>
          <w:tcPr>
            <w:tcW w:type="dxa" w:w="37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大模型+设备预测性维护深度融合</w:t>
            </w:r>
          </w:p>
        </w:tc>
      </w:tr>
    </w:tbl>
    <w:p>
      <w:r>
        <w:br w:type="page"/>
      </w:r>
    </w:p>
    <w:p>
      <w:pPr>
        <w:pStyle w:val="Heading1"/>
        <w:spacing w:after="200" w:before="360"/>
      </w:pPr>
      <w:r>
        <w:rPr>
          <w:rFonts w:ascii="Arial" w:eastAsia="Microsoft YaHei" w:hAnsi="Arial"/>
          <w:b/>
          <w:bCs/>
          <w:sz w:val="36"/>
          <w:szCs w:val="36"/>
        </w:rPr>
        <w:t xml:space="preserve">八、成功经验与未来趋势总结</w:t>
      </w:r>
    </w:p>
    <w:p>
      <w:pPr>
        <w:pStyle w:val="Heading2"/>
        <w:spacing w:after="160" w:before="280"/>
      </w:pPr>
      <w:r>
        <w:rPr>
          <w:rFonts w:ascii="Arial" w:eastAsia="Microsoft YaHei" w:hAnsi="Arial"/>
          <w:b/>
          <w:bCs/>
          <w:sz w:val="30"/>
          <w:szCs w:val="30"/>
        </w:rPr>
        <w:t xml:space="preserve">8.1 成功经验总结</w:t>
      </w:r>
    </w:p>
    <w:p>
      <w:pPr>
        <w:spacing w:after="120" w:line="360"/>
        <w:jc w:val="both"/>
      </w:pPr>
      <w:r>
        <w:rPr>
          <w:rFonts w:ascii="Arial" w:eastAsia="Microsoft YaHei" w:hAnsi="Arial"/>
          <w:sz w:val="22"/>
          <w:szCs w:val="22"/>
        </w:rPr>
        <w:t xml:space="preserve">（1）生态集成是核心竞争力：扣子Coze的成功证明，将Agent平台与已有内容生态（抖音、飞书）深度集成，能够快速获取流量和用户。百度文心依托搜索生态、腾讯元器依托社交生态，均验证了这一规律。</w:t>
      </w:r>
    </w:p>
    <w:p>
      <w:pPr>
        <w:spacing w:after="120" w:line="360"/>
        <w:jc w:val="both"/>
      </w:pPr>
      <w:r>
        <w:rPr>
          <w:rFonts w:ascii="Arial" w:eastAsia="Microsoft YaHei" w:hAnsi="Arial"/>
          <w:sz w:val="22"/>
          <w:szCs w:val="22"/>
        </w:rPr>
        <w:t xml:space="preserve">（2）降低门槛是增长关键：零代码/低代码开发是各平台的共同选择。豆包个人用户日均创建Agent超50万款，扣子开发者超300万，证明了低门槛策略的有效性。</w:t>
      </w:r>
    </w:p>
    <w:p>
      <w:pPr>
        <w:spacing w:after="120" w:line="360"/>
        <w:jc w:val="both"/>
      </w:pPr>
      <w:r>
        <w:rPr>
          <w:rFonts w:ascii="Arial" w:eastAsia="Microsoft YaHei" w:hAnsi="Arial"/>
          <w:sz w:val="22"/>
          <w:szCs w:val="22"/>
        </w:rPr>
        <w:t xml:space="preserve">（3）行业深耕是差异化竞争的关键：通用平台竞争激烈，行业垂直Agent（如工业、医疗、金融）具有更高的壁垒和商业价值。朗坤智慧获工业互联网大赛总冠军即为明证。</w:t>
      </w:r>
    </w:p>
    <w:p>
      <w:pPr>
        <w:spacing w:after="120" w:line="360"/>
        <w:jc w:val="both"/>
      </w:pPr>
      <w:r>
        <w:rPr>
          <w:rFonts w:ascii="Arial" w:eastAsia="Microsoft YaHei" w:hAnsi="Arial"/>
          <w:sz w:val="22"/>
          <w:szCs w:val="22"/>
        </w:rPr>
        <w:t xml:space="preserve">（4）开源与商业化并行：Dify、LangGraph等开源项目通过社区获取用户，再通过云服务和企业版实现变现，形成了可持续的商业模式。</w:t>
      </w:r>
    </w:p>
    <w:p>
      <w:pPr>
        <w:pStyle w:val="Heading2"/>
        <w:spacing w:after="160" w:before="280"/>
      </w:pPr>
      <w:r>
        <w:rPr>
          <w:rFonts w:ascii="Arial" w:eastAsia="Microsoft YaHei" w:hAnsi="Arial"/>
          <w:b/>
          <w:bCs/>
          <w:sz w:val="30"/>
          <w:szCs w:val="30"/>
        </w:rPr>
        <w:t xml:space="preserve">8.2 未来趋势</w:t>
      </w:r>
    </w:p>
    <w:p>
      <w:pPr>
        <w:spacing w:after="120" w:line="360"/>
        <w:jc w:val="both"/>
      </w:pPr>
      <w:r>
        <w:rPr>
          <w:rFonts w:ascii="Arial" w:eastAsia="Microsoft YaHei" w:hAnsi="Arial"/>
          <w:sz w:val="22"/>
          <w:szCs w:val="22"/>
        </w:rPr>
        <w:t xml:space="preserve">（1）工业智能体加速落地：OPC UA与大模型的融合将成为工业4.0的核心基础设施，“一个机柜+一个模型”的架构将普及。</w:t>
      </w:r>
    </w:p>
    <w:p>
      <w:pPr>
        <w:spacing w:after="120" w:line="360"/>
        <w:jc w:val="both"/>
      </w:pPr>
      <w:r>
        <w:rPr>
          <w:rFonts w:ascii="Arial" w:eastAsia="Microsoft YaHei" w:hAnsi="Arial"/>
          <w:sz w:val="22"/>
          <w:szCs w:val="22"/>
        </w:rPr>
        <w:t xml:space="preserve">（2）多智能体协同成为主流：从单一Agent向多Agent协作演进，模拟人类团队协作模式，实现复杂任务的自动分解与执行。</w:t>
      </w:r>
    </w:p>
    <w:p>
      <w:pPr>
        <w:spacing w:after="120" w:line="360"/>
        <w:jc w:val="both"/>
      </w:pPr>
      <w:r>
        <w:rPr>
          <w:rFonts w:ascii="Arial" w:eastAsia="Microsoft YaHei" w:hAnsi="Arial"/>
          <w:sz w:val="22"/>
          <w:szCs w:val="22"/>
        </w:rPr>
        <w:t xml:space="preserve">（3）具身智能与工业场景融合：AI从“悬浮”迈向“具身智能”，与物理设备深度结合，实现真正的工业自主决策。</w:t>
      </w:r>
    </w:p>
    <w:p>
      <w:pPr>
        <w:spacing w:after="120" w:line="360"/>
        <w:jc w:val="both"/>
      </w:pPr>
      <w:r>
        <w:rPr>
          <w:rFonts w:ascii="Arial" w:eastAsia="Microsoft YaHei" w:hAnsi="Arial"/>
          <w:sz w:val="22"/>
          <w:szCs w:val="22"/>
        </w:rPr>
        <w:t xml:space="preserve">（4）教育赛道持续热度高：“人工智能+”已成为互联网+大赛的重点赛道，同济大学等高校的实践案例为参赛提供了良好参考。</w:t>
      </w:r>
    </w:p>
    <w:p>
      <w:pPr>
        <w:spacing w:after="120" w:line="360"/>
        <w:jc w:val="both"/>
      </w:pPr>
      <w:r>
        <w:rPr>
          <w:rFonts w:ascii="Arial" w:eastAsia="Microsoft YaHei" w:hAnsi="Arial"/>
          <w:sz w:val="22"/>
          <w:szCs w:val="22"/>
        </w:rPr>
        <w:t xml:space="preserve">（5）国产化替代加速：在自主可控政策驱动下，基于国产算力和国产协议（如OPC UA）的解决方案将获得更多政策支持和市场机会。</w:t>
      </w:r>
    </w:p>
    <w:p>
      <w:r>
        <w:br w:type="page"/>
      </w:r>
    </w:p>
    <w:p>
      <w:pPr>
        <w:pStyle w:val="Heading1"/>
        <w:spacing w:after="200" w:before="360"/>
      </w:pPr>
      <w:r>
        <w:rPr>
          <w:rFonts w:ascii="Arial" w:eastAsia="Microsoft YaHei" w:hAnsi="Arial"/>
          <w:b/>
          <w:bCs/>
          <w:sz w:val="36"/>
          <w:szCs w:val="36"/>
        </w:rPr>
        <w:t xml:space="preserve">九、参赛赛道推荐与可行性分析</w:t>
      </w:r>
    </w:p>
    <w:p>
      <w:pPr>
        <w:pStyle w:val="Heading2"/>
        <w:spacing w:after="160" w:before="280"/>
      </w:pPr>
      <w:r>
        <w:rPr>
          <w:rFonts w:ascii="Arial" w:eastAsia="Microsoft YaHei" w:hAnsi="Arial"/>
          <w:b/>
          <w:bCs/>
          <w:sz w:val="30"/>
          <w:szCs w:val="30"/>
        </w:rPr>
        <w:t xml:space="preserve">9.1 赛道推荐</w:t>
      </w:r>
    </w:p>
    <w:p>
      <w:pPr>
        <w:spacing w:after="120" w:line="360"/>
        <w:jc w:val="both"/>
      </w:pPr>
      <w:r>
        <w:rPr>
          <w:rFonts w:ascii="Arial" w:eastAsia="Microsoft YaHei" w:hAnsi="Arial"/>
          <w:sz w:val="22"/>
          <w:szCs w:val="22"/>
        </w:rPr>
        <w:t xml:space="preserve">基于以上调研分析，结合OPC+AI大模型+Agent的技术方向和同济大学的学科优势，推荐以下参赛赛道：</w:t>
      </w:r>
    </w:p>
    <w:p>
      <w:pPr>
        <w:pStyle w:val="Heading3"/>
        <w:spacing w:after="120" w:before="200"/>
      </w:pPr>
      <w:r>
        <w:rPr>
          <w:rFonts w:ascii="Arial" w:eastAsia="Microsoft YaHei" w:hAnsi="Arial"/>
          <w:b/>
          <w:bCs/>
          <w:sz w:val="26"/>
          <w:szCs w:val="26"/>
        </w:rPr>
        <w:t xml:space="preserve">推荐一：高教主赛道 - “人工智能+”类别（最优推荐）</w:t>
      </w:r>
    </w:p>
    <w:p>
      <w:pPr>
        <w:spacing w:after="120" w:line="360"/>
        <w:jc w:val="both"/>
      </w:pPr>
      <w:r>
        <w:rPr>
          <w:rFonts w:ascii="Arial" w:eastAsia="Microsoft YaHei" w:hAnsi="Arial"/>
          <w:sz w:val="22"/>
          <w:szCs w:val="22"/>
        </w:rPr>
        <w:t xml:space="preserve">参赛组别：研究生组创意组或创业组</w:t>
      </w:r>
    </w:p>
    <w:p>
      <w:pPr>
        <w:spacing w:after="120" w:line="360"/>
        <w:jc w:val="both"/>
      </w:pPr>
      <w:r>
        <w:rPr>
          <w:rFonts w:ascii="Arial" w:eastAsia="Microsoft YaHei" w:hAnsi="Arial"/>
          <w:sz w:val="22"/>
          <w:szCs w:val="22"/>
        </w:rPr>
        <w:t xml:space="preserve">项目方向：基于OPC UA协议的工业智能体平台，融合大模型与Agent技术，实现工业设备数据的智能采集、分析与决策。</w:t>
      </w:r>
    </w:p>
    <w:p>
      <w:pPr>
        <w:spacing w:after="120" w:line="360"/>
        <w:jc w:val="both"/>
      </w:pPr>
      <w:r>
        <w:rPr>
          <w:rFonts w:ascii="Arial" w:eastAsia="Microsoft YaHei" w:hAnsi="Arial"/>
          <w:sz w:val="22"/>
          <w:szCs w:val="22"/>
        </w:rPr>
        <w:t xml:space="preserve">推荐理由：“人工智能+”是2026年互联网+大赛的重点参赛类别，与国家新工程发展方向高度契合。OPC UA与大模型的融合是工业4.0的前沿方向，具有强烈的创新性和实用性。</w:t>
      </w:r>
    </w:p>
    <w:p>
      <w:pPr>
        <w:pStyle w:val="Heading3"/>
        <w:spacing w:after="120" w:before="200"/>
      </w:pPr>
      <w:r>
        <w:rPr>
          <w:rFonts w:ascii="Arial" w:eastAsia="Microsoft YaHei" w:hAnsi="Arial"/>
          <w:b/>
          <w:bCs/>
          <w:sz w:val="26"/>
          <w:szCs w:val="26"/>
        </w:rPr>
        <w:t xml:space="preserve">推荐二：高教主赛道 - 新工科类</w:t>
      </w:r>
    </w:p>
    <w:p>
      <w:pPr>
        <w:spacing w:after="120" w:line="360"/>
        <w:jc w:val="both"/>
      </w:pPr>
      <w:r>
        <w:rPr>
          <w:rFonts w:ascii="Arial" w:eastAsia="Microsoft YaHei" w:hAnsi="Arial"/>
          <w:sz w:val="22"/>
          <w:szCs w:val="22"/>
        </w:rPr>
        <w:t xml:space="preserve">参赛组别：本科生组创意组或研究生组创意组</w:t>
      </w:r>
    </w:p>
    <w:p>
      <w:pPr>
        <w:spacing w:after="120" w:line="360"/>
        <w:jc w:val="both"/>
      </w:pPr>
      <w:r>
        <w:rPr>
          <w:rFonts w:ascii="Arial" w:eastAsia="Microsoft YaHei" w:hAnsi="Arial"/>
          <w:sz w:val="22"/>
          <w:szCs w:val="22"/>
        </w:rPr>
        <w:t xml:space="preserve">项目方向：基于同济大学《AI的礼物》项目背景，构建“工程智能+教育创新”平台，将OPC UA工业数据、大模型分析与教育场景深度融合。</w:t>
      </w:r>
    </w:p>
    <w:p>
      <w:pPr>
        <w:spacing w:after="120" w:line="360"/>
        <w:jc w:val="both"/>
      </w:pPr>
      <w:r>
        <w:rPr>
          <w:rFonts w:ascii="Arial" w:eastAsia="Microsoft YaHei" w:hAnsi="Arial"/>
          <w:sz w:val="22"/>
          <w:szCs w:val="22"/>
        </w:rPr>
        <w:t xml:space="preserve">推荐理由：同济大学的“师-生-机”三元协同教学体系和CivilGPT等垂域大模型已形成明显竞争优势，结合工业场景数据可打造独特的差异化优势。</w:t>
      </w:r>
    </w:p>
    <w:p>
      <w:pPr>
        <w:pStyle w:val="Heading3"/>
        <w:spacing w:after="120" w:before="200"/>
      </w:pPr>
      <w:r>
        <w:rPr>
          <w:rFonts w:ascii="Arial" w:eastAsia="Microsoft YaHei" w:hAnsi="Arial"/>
          <w:b/>
          <w:bCs/>
          <w:sz w:val="26"/>
          <w:szCs w:val="26"/>
        </w:rPr>
        <w:t xml:space="preserve">推荐三：产业赛道 - 企业命题组</w:t>
      </w:r>
    </w:p>
    <w:p>
      <w:pPr>
        <w:spacing w:after="120" w:line="360"/>
        <w:jc w:val="both"/>
      </w:pPr>
      <w:r>
        <w:rPr>
          <w:rFonts w:ascii="Arial" w:eastAsia="Microsoft YaHei" w:hAnsi="Arial"/>
          <w:sz w:val="22"/>
          <w:szCs w:val="22"/>
        </w:rPr>
        <w:t xml:space="preserve">参赛组别：企业命题组</w:t>
      </w:r>
    </w:p>
    <w:p>
      <w:pPr>
        <w:spacing w:after="120" w:line="360"/>
        <w:jc w:val="both"/>
      </w:pPr>
      <w:r>
        <w:rPr>
          <w:rFonts w:ascii="Arial" w:eastAsia="Microsoft YaHei" w:hAnsi="Arial"/>
          <w:sz w:val="22"/>
          <w:szCs w:val="22"/>
        </w:rPr>
        <w:t xml:space="preserve">项目方向：针对工业企业实际需求，开发基于OPC UA+AI Agent的智能工业解决方案。</w:t>
      </w:r>
    </w:p>
    <w:p>
      <w:pPr>
        <w:spacing w:after="120" w:line="360"/>
        <w:jc w:val="both"/>
      </w:pPr>
      <w:r>
        <w:rPr>
          <w:rFonts w:ascii="Arial" w:eastAsia="Microsoft YaHei" w:hAnsi="Arial"/>
          <w:sz w:val="22"/>
          <w:szCs w:val="22"/>
        </w:rPr>
        <w:t xml:space="preserve">推荐理由：产业赛道强调产学研结合，与企业实际需求紧密对接，能够充分展现技术落地能力和商业价值。</w:t>
      </w:r>
    </w:p>
    <w:p>
      <w:pPr>
        <w:pStyle w:val="Heading2"/>
        <w:spacing w:after="160" w:before="280"/>
      </w:pPr>
      <w:r>
        <w:rPr>
          <w:rFonts w:ascii="Arial" w:eastAsia="Microsoft YaHei" w:hAnsi="Arial"/>
          <w:b/>
          <w:bCs/>
          <w:sz w:val="30"/>
          <w:szCs w:val="30"/>
        </w:rPr>
        <w:t xml:space="preserve">9.2 可行性分析</w:t>
      </w:r>
    </w:p>
    <w:p>
      <w:pPr>
        <w:pStyle w:val="Heading3"/>
        <w:spacing w:after="120" w:before="200"/>
      </w:pPr>
      <w:r>
        <w:rPr>
          <w:rFonts w:ascii="Arial" w:eastAsia="Microsoft YaHei" w:hAnsi="Arial"/>
          <w:b/>
          <w:bCs/>
          <w:sz w:val="26"/>
          <w:szCs w:val="26"/>
        </w:rPr>
        <w:t xml:space="preserve">（1）技术可行性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评估维度</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可行性评估</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说明</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OPC UA技术成熟度</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非常高</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国内平台渗透率达68.3%，技术栈成熟</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大模型接入能力</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较高</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同济已有CivilGPT等垂域模型经验，可复用</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Agent平台技术</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较高</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开源框架（Dify/LangGraph）降低开发门槛</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工业场景数据获取</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中等</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需与企业合作获取工业数据，可用公开数据集替代</w:t>
            </w:r>
          </w:p>
        </w:tc>
      </w:tr>
    </w:tbl>
    <w:p>
      <w:pPr>
        <w:pStyle w:val="Heading3"/>
        <w:spacing w:after="120" w:before="200"/>
      </w:pPr>
      <w:r>
        <w:rPr>
          <w:rFonts w:ascii="Arial" w:eastAsia="Microsoft YaHei" w:hAnsi="Arial"/>
          <w:b/>
          <w:bCs/>
          <w:sz w:val="26"/>
          <w:szCs w:val="26"/>
        </w:rPr>
        <w:t xml:space="preserve">（2）市场可行性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评估维度</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可行性评估</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说明</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市场需求</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非常高</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工业互联网市场4500亿，年增长18%+</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竞争格局</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中等</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巨头已入局但工业垂直细分领域仍有机会</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商业模式成熟度</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较高</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参考朗坤智慧、卡奥斯等已验证的商业模式</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政策支持</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非常高</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新型工业化、数字孪生等政策持续加码</w:t>
            </w:r>
          </w:p>
        </w:tc>
      </w:tr>
    </w:tbl>
    <w:p>
      <w:pPr>
        <w:pStyle w:val="Heading3"/>
        <w:spacing w:after="120" w:before="200"/>
      </w:pPr>
      <w:r>
        <w:rPr>
          <w:rFonts w:ascii="Arial" w:eastAsia="Microsoft YaHei" w:hAnsi="Arial"/>
          <w:b/>
          <w:bCs/>
          <w:sz w:val="26"/>
          <w:szCs w:val="26"/>
        </w:rPr>
        <w:t xml:space="preserve">（3）团队可行性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评估维度</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可行性评估</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center"/>
            </w:pPr>
            <w:r>
              <w:rPr>
                <w:rFonts w:ascii="Arial" w:eastAsia="Microsoft YaHei" w:hAnsi="Arial"/>
                <w:b/>
                <w:bCs/>
                <w:color w:val="FFFFFF"/>
                <w:sz w:val="20"/>
                <w:szCs w:val="20"/>
              </w:rPr>
              <w:t xml:space="preserve">说明</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技术能力</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较高</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同济大学工科背景强，有大模型开发经验</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学校资源</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非常高</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工程智能研究院、多个垂域大模型、企业合作资源</w:t>
            </w:r>
          </w:p>
        </w:tc>
      </w:tr>
      <w:tr>
        <w:trPr>
          <w:cantSplit/>
        </w:trPr>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参赛经验</w:t>
            </w:r>
          </w:p>
        </w:tc>
        <w:tc>
          <w:tcPr>
            <w:tcW w:type="dxa" w:w="240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中等</w:t>
            </w:r>
          </w:p>
        </w:tc>
        <w:tc>
          <w:tcPr>
            <w:tcW w:type="dxa" w:w="4560"/>
            <w:tcBorders>
              <w:top w:val="single" w:color="BBBBBB" w:sz="1"/>
              <w:left w:val="single" w:color="BBBBBB" w:sz="1"/>
              <w:bottom w:val="single" w:color="BBBBBB" w:sz="1"/>
              <w:right w:val="single" w:color="BBBBBB" w:sz="1"/>
            </w:tcBorders>
            <w:shd w:fill="F2F7FB" w:val="clear"/>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需借鉴先前获奖项目经验，建议寻求导师指导</w:t>
            </w:r>
          </w:p>
        </w:tc>
      </w:tr>
      <w:tr>
        <w:trPr>
          <w:cantSplit/>
        </w:trP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团队组建</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 较高</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line="300"/>
              <w:jc w:val="left"/>
            </w:pPr>
            <w:r>
              <w:rPr>
                <w:rFonts w:ascii="Arial" w:eastAsia="Microsoft YaHei" w:hAnsi="Arial"/>
                <w:b w:val="false"/>
                <w:bCs w:val="false"/>
                <w:sz w:val="18"/>
                <w:szCs w:val="18"/>
              </w:rPr>
              <w:t xml:space="preserve">建议跨学科组队（工科+AI+商业），3-15人</w:t>
            </w:r>
          </w:p>
        </w:tc>
      </w:tr>
    </w:tbl>
    <w:p>
      <w:pPr>
        <w:pStyle w:val="Heading2"/>
        <w:spacing w:after="160" w:before="280"/>
      </w:pPr>
      <w:r>
        <w:rPr>
          <w:rFonts w:ascii="Arial" w:eastAsia="Microsoft YaHei" w:hAnsi="Arial"/>
          <w:b/>
          <w:bCs/>
          <w:sz w:val="30"/>
          <w:szCs w:val="30"/>
        </w:rPr>
        <w:t xml:space="preserve">9.3 综合可行性评估</w:t>
      </w:r>
    </w:p>
    <w:p>
      <w:pPr>
        <w:spacing w:after="120" w:line="360"/>
        <w:jc w:val="both"/>
      </w:pPr>
      <w:r>
        <w:rPr>
          <w:rFonts w:ascii="Arial" w:eastAsia="Microsoft YaHei" w:hAnsi="Arial"/>
          <w:sz w:val="22"/>
          <w:szCs w:val="22"/>
        </w:rPr>
        <w:t xml:space="preserve">综合以上分析，OPC+AI大模型+Agent方向参加互联网+大赛的综合可行性评分为：</w:t>
      </w:r>
    </w:p>
    <w:p>
      <w:pPr>
        <w:spacing w:after="120" w:line="360"/>
        <w:jc w:val="both"/>
      </w:pPr>
      <w:r>
        <w:rPr>
          <w:rFonts w:ascii="Arial" w:eastAsia="Microsoft YaHei" w:hAnsi="Arial"/>
          <w:b/>
          <w:bCs/>
          <w:sz w:val="24"/>
          <w:szCs w:val="24"/>
        </w:rPr>
        <w:t xml:space="preserve">总体可行性：★★★★☆（85/100）</w:t>
      </w:r>
    </w:p>
    <w:p>
      <w:pPr>
        <w:spacing w:after="120" w:line="360"/>
        <w:jc w:val="both"/>
      </w:pPr>
      <w:r>
        <w:rPr>
          <w:rFonts w:ascii="Arial" w:eastAsia="Microsoft YaHei" w:hAnsi="Arial"/>
          <w:sz w:val="22"/>
          <w:szCs w:val="22"/>
        </w:rPr>
        <w:t xml:space="preserve">主要优势：</w:t>
      </w:r>
    </w:p>
    <w:p>
      <w:pPr>
        <w:spacing w:after="120" w:line="360"/>
        <w:jc w:val="both"/>
      </w:pPr>
      <w:r>
        <w:rPr>
          <w:rFonts w:ascii="Arial" w:eastAsia="Microsoft YaHei" w:hAnsi="Arial"/>
          <w:sz w:val="22"/>
          <w:szCs w:val="22"/>
        </w:rPr>
        <w:t xml:space="preserve">• 技术方向前沿：OPC UA+大模型+Agent是工业4.0的核心趋势，符合国家战略方向</w:t>
      </w:r>
    </w:p>
    <w:p>
      <w:pPr>
        <w:spacing w:after="120" w:line="360"/>
        <w:jc w:val="both"/>
      </w:pPr>
      <w:r>
        <w:rPr>
          <w:rFonts w:ascii="Arial" w:eastAsia="Microsoft YaHei" w:hAnsi="Arial"/>
          <w:sz w:val="22"/>
          <w:szCs w:val="22"/>
        </w:rPr>
        <w:t xml:space="preserve">• 学校资源丰富：同济大学在AI赋能工程教育方面具有显著优势</w:t>
      </w:r>
    </w:p>
    <w:p>
      <w:pPr>
        <w:spacing w:after="120" w:line="360"/>
        <w:jc w:val="both"/>
      </w:pPr>
      <w:r>
        <w:rPr>
          <w:rFonts w:ascii="Arial" w:eastAsia="Microsoft YaHei" w:hAnsi="Arial"/>
          <w:sz w:val="22"/>
          <w:szCs w:val="22"/>
        </w:rPr>
        <w:t xml:space="preserve">• 市场空间广阔：工业互联网市场规模巨大，垂直细分领域仍有机会</w:t>
      </w:r>
    </w:p>
    <w:p>
      <w:pPr>
        <w:spacing w:after="120" w:line="360"/>
        <w:jc w:val="both"/>
      </w:pPr>
      <w:r>
        <w:rPr>
          <w:rFonts w:ascii="Arial" w:eastAsia="Microsoft YaHei" w:hAnsi="Arial"/>
          <w:sz w:val="22"/>
          <w:szCs w:val="22"/>
        </w:rPr>
        <w:t xml:space="preserve">• 参赛政策利好：“人工智能+”赛道获得重点支持</w:t>
      </w:r>
    </w:p>
    <w:p>
      <w:pPr>
        <w:spacing w:after="120" w:line="360"/>
        <w:jc w:val="both"/>
      </w:pPr>
      <w:r>
        <w:rPr>
          <w:rFonts w:ascii="Arial" w:eastAsia="Microsoft YaHei" w:hAnsi="Arial"/>
          <w:sz w:val="22"/>
          <w:szCs w:val="22"/>
        </w:rPr>
        <w:t xml:space="preserve">主要风险：</w:t>
      </w:r>
    </w:p>
    <w:p>
      <w:pPr>
        <w:spacing w:after="120" w:line="360"/>
        <w:jc w:val="both"/>
      </w:pPr>
      <w:r>
        <w:rPr>
          <w:rFonts w:ascii="Arial" w:eastAsia="Microsoft YaHei" w:hAnsi="Arial"/>
          <w:sz w:val="22"/>
          <w:szCs w:val="22"/>
        </w:rPr>
        <w:t xml:space="preserve">• 工业数据获取难度：需与企业合作或使用公开数据集替代</w:t>
      </w:r>
    </w:p>
    <w:p>
      <w:pPr>
        <w:spacing w:after="120" w:line="360"/>
        <w:jc w:val="both"/>
      </w:pPr>
      <w:r>
        <w:rPr>
          <w:rFonts w:ascii="Arial" w:eastAsia="Microsoft YaHei" w:hAnsi="Arial"/>
          <w:sz w:val="22"/>
          <w:szCs w:val="22"/>
        </w:rPr>
        <w:t xml:space="preserve">• 竞争激烈：巨头已入局工业Agent领域，需找到差异化切入点</w:t>
      </w:r>
    </w:p>
    <w:p>
      <w:pPr>
        <w:spacing w:after="120" w:line="360"/>
        <w:jc w:val="both"/>
      </w:pPr>
      <w:r>
        <w:rPr>
          <w:rFonts w:ascii="Arial" w:eastAsia="Microsoft YaHei" w:hAnsi="Arial"/>
          <w:sz w:val="22"/>
          <w:szCs w:val="22"/>
        </w:rPr>
        <w:t xml:space="preserve">• 团队组建要求：需跨学科协作，建议工程+计算机+商业组合</w:t>
      </w:r>
    </w:p>
    <w:p>
      <w:r>
        <w:br w:type="page"/>
      </w:r>
    </w:p>
    <w:p>
      <w:pPr>
        <w:pStyle w:val="Heading1"/>
        <w:spacing w:after="200" w:before="360"/>
      </w:pPr>
      <w:r>
        <w:rPr>
          <w:rFonts w:ascii="Arial" w:eastAsia="Microsoft YaHei" w:hAnsi="Arial"/>
          <w:b/>
          <w:bCs/>
          <w:sz w:val="36"/>
          <w:szCs w:val="36"/>
        </w:rPr>
        <w:t xml:space="preserve">十、结论与建议</w:t>
      </w:r>
    </w:p>
    <w:p>
      <w:pPr>
        <w:pStyle w:val="Heading2"/>
        <w:spacing w:after="160" w:before="280"/>
      </w:pPr>
      <w:r>
        <w:rPr>
          <w:rFonts w:ascii="Arial" w:eastAsia="Microsoft YaHei" w:hAnsi="Arial"/>
          <w:b/>
          <w:bCs/>
          <w:sz w:val="30"/>
          <w:szCs w:val="30"/>
        </w:rPr>
        <w:t xml:space="preserve">10.1 核心结论</w:t>
      </w:r>
    </w:p>
    <w:p>
      <w:pPr>
        <w:spacing w:after="120" w:line="360"/>
        <w:jc w:val="both"/>
      </w:pPr>
      <w:r>
        <w:rPr>
          <w:rFonts w:ascii="Arial" w:eastAsia="Microsoft YaHei" w:hAnsi="Arial"/>
          <w:sz w:val="22"/>
          <w:szCs w:val="22"/>
        </w:rPr>
        <w:t xml:space="preserve">（1）OPC UA+大模型+Agent是当前工业互联网与人工智能融合的核心方向，市场前景广阔，政策支持力度大。</w:t>
      </w:r>
    </w:p>
    <w:p>
      <w:pPr>
        <w:spacing w:after="120" w:line="360"/>
        <w:jc w:val="both"/>
      </w:pPr>
      <w:r>
        <w:rPr>
          <w:rFonts w:ascii="Arial" w:eastAsia="Microsoft YaHei" w:hAnsi="Arial"/>
          <w:sz w:val="22"/>
          <w:szCs w:val="22"/>
        </w:rPr>
        <w:t xml:space="preserve">（2）当前AI Agent平台已形成“巨头生态+专业工具+垂直应用”三层竞争格局，工业垂直领域仍有较大的差异化空间。</w:t>
      </w:r>
    </w:p>
    <w:p>
      <w:pPr>
        <w:spacing w:after="120" w:line="360"/>
        <w:jc w:val="both"/>
      </w:pPr>
      <w:r>
        <w:rPr>
          <w:rFonts w:ascii="Arial" w:eastAsia="Microsoft YaHei" w:hAnsi="Arial"/>
          <w:sz w:val="22"/>
          <w:szCs w:val="22"/>
        </w:rPr>
        <w:t xml:space="preserve">（3）同济大学在AI赋能工程教育方面具有显著优势，《AI的礼物》项目背景为参赛提供了独特的差异化竞争力。</w:t>
      </w:r>
    </w:p>
    <w:p>
      <w:pPr>
        <w:spacing w:after="120" w:line="360"/>
        <w:jc w:val="both"/>
      </w:pPr>
      <w:r>
        <w:rPr>
          <w:rFonts w:ascii="Arial" w:eastAsia="Microsoft YaHei" w:hAnsi="Arial"/>
          <w:sz w:val="22"/>
          <w:szCs w:val="22"/>
        </w:rPr>
        <w:t xml:space="preserve">（4）推荐优先参加高教主赛道“人工智能+”类别，其次考虑新工科类和产业赛道。</w:t>
      </w:r>
    </w:p>
    <w:p>
      <w:pPr>
        <w:pStyle w:val="Heading2"/>
        <w:spacing w:after="160" w:before="280"/>
      </w:pPr>
      <w:r>
        <w:rPr>
          <w:rFonts w:ascii="Arial" w:eastAsia="Microsoft YaHei" w:hAnsi="Arial"/>
          <w:b/>
          <w:bCs/>
          <w:sz w:val="30"/>
          <w:szCs w:val="30"/>
        </w:rPr>
        <w:t xml:space="preserve">10.2 行动建议</w:t>
      </w:r>
    </w:p>
    <w:p>
      <w:pPr>
        <w:spacing w:after="120" w:line="360"/>
        <w:jc w:val="both"/>
      </w:pPr>
      <w:r>
        <w:rPr>
          <w:rFonts w:ascii="Arial" w:eastAsia="Microsoft YaHei" w:hAnsi="Arial"/>
          <w:sz w:val="22"/>
          <w:szCs w:val="22"/>
        </w:rPr>
        <w:t xml:space="preserve">（1）明确项目定位：建议将项目定位为“基于OPC UA的工业智能体平台”，突出大模型与工业数据的深度融合。</w:t>
      </w:r>
    </w:p>
    <w:p>
      <w:pPr>
        <w:spacing w:after="120" w:line="360"/>
        <w:jc w:val="both"/>
      </w:pPr>
      <w:r>
        <w:rPr>
          <w:rFonts w:ascii="Arial" w:eastAsia="Microsoft YaHei" w:hAnsi="Arial"/>
          <w:sz w:val="22"/>
          <w:szCs w:val="22"/>
        </w:rPr>
        <w:t xml:space="preserve">（2）组建跨学科团队：建议组建包含工程技术、AI算法、商业运营等多学科背景的团队，3-15人。</w:t>
      </w:r>
    </w:p>
    <w:p>
      <w:pPr>
        <w:spacing w:after="120" w:line="360"/>
        <w:jc w:val="both"/>
      </w:pPr>
      <w:r>
        <w:rPr>
          <w:rFonts w:ascii="Arial" w:eastAsia="Microsoft YaHei" w:hAnsi="Arial"/>
          <w:sz w:val="22"/>
          <w:szCs w:val="22"/>
        </w:rPr>
        <w:t xml:space="preserve">（3）寻求企业合作：尽早与工业企业建立合作，获取真实工业数据和场景需求，提升项目的实用性和说服力。</w:t>
      </w:r>
    </w:p>
    <w:p>
      <w:pPr>
        <w:spacing w:after="120" w:line="360"/>
        <w:jc w:val="both"/>
      </w:pPr>
      <w:r>
        <w:rPr>
          <w:rFonts w:ascii="Arial" w:eastAsia="Microsoft YaHei" w:hAnsi="Arial"/>
          <w:sz w:val="22"/>
          <w:szCs w:val="22"/>
        </w:rPr>
        <w:t xml:space="preserve">（4）借助学校资源：充分利用同济大学工程智能研究院、垂域大模型（CivilGPT、Med-Go等）的技术积累。</w:t>
      </w:r>
    </w:p>
    <w:p>
      <w:pPr>
        <w:spacing w:after="120" w:line="360"/>
        <w:jc w:val="both"/>
      </w:pPr>
      <w:r>
        <w:rPr>
          <w:rFonts w:ascii="Arial" w:eastAsia="Microsoft YaHei" w:hAnsi="Arial"/>
          <w:sz w:val="22"/>
          <w:szCs w:val="22"/>
        </w:rPr>
        <w:t xml:space="preserve">（5）关注差异化竞争：在项目中突出“教育赋能+工业创新”的独特视角，结合《AI的礼物》项目理念，打造差异化竞争优势。</w:t>
      </w:r>
    </w:p>
    <w:p>
      <w:pPr>
        <w:spacing w:after="120" w:line="360"/>
        <w:jc w:val="both"/>
      </w:pPr>
      <w:r>
        <w:rPr>
          <w:rFonts w:ascii="Arial" w:eastAsia="Microsoft YaHei" w:hAnsi="Arial"/>
          <w:sz w:val="22"/>
          <w:szCs w:val="22"/>
        </w:rPr>
        <w:t xml:space="preserve">（6）提前准备时间线：建议尽早启动项目开发，预留充足的测试和迭代时间，并积极参加校内预选赛。</w:t>
      </w:r>
    </w:p>
    <w:sectPr>
      <w:headerReference w:type="default" r:id="rId10"/>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6"/>
        <w:szCs w:val="16"/>
      </w:rPr>
      <w:t xml:space="preserve">第 </w:t>
    </w:r>
    <w:r>
      <w:rPr>
        <w:color w:val="888888"/>
        <w:sz w:val="16"/>
        <w:szCs w:val="16"/>
      </w:rPr>
      <w:fldChar w:fldCharType="begin"/>
      <w:instrText xml:space="preserve">PAGE</w:instrText>
      <w:fldChar w:fldCharType="separate"/>
      <w:fldChar w:fldCharType="end"/>
    </w:r>
    <w:r>
      <w:rPr>
        <w:rFonts w:ascii="Arial" w:eastAsia="Microsoft YaHei" w:hAnsi="Arial"/>
        <w:color w:val="888888"/>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eastAsia="Microsoft YaHei" w:hAnsi="Arial"/>
        <w:color w:val="888888"/>
        <w:sz w:val="16"/>
        <w:szCs w:val="16"/>
      </w:rPr>
      <w:t xml:space="preserve">OPC+AI大模型+Agent竞品分析报告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宋体"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Microsoft YaHei" w:hAnsi="Arial"/>
      <w:b/>
      <w:bCs/>
      <w:sz w:val="36"/>
      <w:szCs w:val="36"/>
    </w:rPr>
  </w:style>
  <w:style w:type="paragraph" w:styleId="Heading2">
    <w:name w:val="Heading 2"/>
    <w:basedOn w:val="Normal"/>
    <w:next w:val="Normal"/>
    <w:qFormat/>
    <w:pPr>
      <w:keepNext w:val="false"/>
      <w:keepLines w:val="false"/>
      <w:spacing w:after="160" w:before="280"/>
      <w:outlineLvl w:val="1"/>
    </w:pPr>
    <w:rPr>
      <w:rFonts w:ascii="Arial" w:eastAsia="Microsoft YaHei" w:hAnsi="Arial"/>
      <w:b/>
      <w:bCs/>
      <w:sz w:val="30"/>
      <w:szCs w:val="30"/>
    </w:rPr>
  </w:style>
  <w:style w:type="paragraph" w:styleId="Heading3">
    <w:name w:val="Heading 3"/>
    <w:basedOn w:val="Normal"/>
    <w:next w:val="Normal"/>
    <w:qFormat/>
    <w:pPr>
      <w:keepNext w:val="false"/>
      <w:keepLines w:val="false"/>
      <w:spacing w:after="120" w:before="200"/>
      <w:outlineLvl w:val="2"/>
    </w:pPr>
    <w:rPr>
      <w:rFonts w:ascii="Arial" w:eastAsia="Microsoft Ya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2026-04-23T00:48:18.839Z</dcterms:created>
  <dcterms:modified xsi:type="dcterms:W3CDTF">2026-04-23T00:48:18.839Z</dcterms:modified>
</cp:coreProperties>
</file>

<file path=docProps/custom.xml><?xml version="1.0" encoding="utf-8"?>
<Properties xmlns="http://schemas.openxmlformats.org/officeDocument/2006/custom-properties" xmlns:vt="http://schemas.openxmlformats.org/officeDocument/2006/docPropsVTypes"/>
</file>