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23c0f6a07c8fadd255d1d93c379437eb08d5fab"/>
    <w:p>
      <w:pPr>
        <w:pStyle w:val="Heading1"/>
      </w:pPr>
      <w:r>
        <w:t xml:space="preserve">PureTask — California Gig-Economy Attorney Consultation Agenda</w:t>
      </w:r>
    </w:p>
    <w:p>
      <w:pPr>
        <w:pStyle w:val="FirstParagraph"/>
      </w:pPr>
      <w:r>
        <w:rPr>
          <w:bCs/>
          <w:b/>
        </w:rPr>
        <w:t xml:space="preserve">Document 18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Meeting Duration:</w:t>
      </w:r>
      <w:r>
        <w:t xml:space="preserve"> </w:t>
      </w:r>
      <w:r>
        <w:t xml:space="preserve">2 hours</w:t>
      </w:r>
      <w:r>
        <w:t xml:space="preserve"> </w:t>
      </w:r>
      <w:r>
        <w:rPr>
          <w:bCs/>
          <w:b/>
        </w:rPr>
        <w:t xml:space="preserve">Meeting Type:</w:t>
      </w:r>
      <w:r>
        <w:t xml:space="preserve"> </w:t>
      </w:r>
      <w:r>
        <w:t xml:space="preserve">Initial structural review of independent-contractor classification under California law</w:t>
      </w:r>
    </w:p>
    <w:p>
      <w:pPr>
        <w:pStyle w:val="BodyText"/>
      </w:pPr>
      <w:r>
        <w:t xml:space="preserve">This document is designed to</w:t>
      </w:r>
      <w:r>
        <w:t xml:space="preserve"> </w:t>
      </w:r>
      <w:r>
        <w:rPr>
          <w:bCs/>
          <w:b/>
        </w:rPr>
        <w:t xml:space="preserve">maximize the value</w:t>
      </w:r>
      <w:r>
        <w:t xml:space="preserve"> </w:t>
      </w:r>
      <w:r>
        <w:t xml:space="preserve">of a 2-hour consultation with a California gig-economy / employment attorney. A 2-hour meeting is short. Wasted on background context that should have been read in advance, it produces vague advice. Used well, it produces actionable risk assessments and structural recommendations.</w:t>
      </w:r>
    </w:p>
    <w:p>
      <w:pPr>
        <w:pStyle w:val="BodyText"/>
      </w:pPr>
      <w:r>
        <w:t xml:space="preserve">The plan: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 pre-read materials 5-7 days before the meeting</w:t>
      </w:r>
      <w:r>
        <w:t xml:space="preserve"> </w:t>
      </w:r>
      <w:r>
        <w:t xml:space="preserve">so the attorney bills less time on basics.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 a structured agenda</w:t>
      </w:r>
      <w:r>
        <w:t xml:space="preserve"> </w:t>
      </w:r>
      <w:r>
        <w:t xml:space="preserve">with timed sections and prepared questions.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Capture decisions immediately</w:t>
      </w:r>
      <w:r>
        <w:t xml:space="preserve"> </w:t>
      </w:r>
      <w:r>
        <w:t xml:space="preserve">in the post-meeting template, not from memory three days later.</w:t>
      </w:r>
    </w:p>
    <w:p>
      <w:r>
        <w:pict>
          <v:rect style="width:0;height:1.5pt" o:hralign="center" o:hrstd="t" o:hr="t"/>
        </w:pict>
      </w:r>
    </w:p>
    <w:bookmarkStart w:id="24" w:name="part-1-pre-meeting-preparation"/>
    <w:p>
      <w:pPr>
        <w:pStyle w:val="Heading2"/>
      </w:pPr>
      <w:r>
        <w:t xml:space="preserve">Part 1 — Pre-Meeting Preparation</w:t>
      </w:r>
    </w:p>
    <w:bookmarkStart w:id="20" w:name="X58c2147430b29c31a4e4a01be14c1d5c8929a10"/>
    <w:p>
      <w:pPr>
        <w:pStyle w:val="Heading3"/>
      </w:pPr>
      <w:r>
        <w:t xml:space="preserve">A. Engagement Letter (Sign 7+ days Before Meeting)</w:t>
      </w:r>
    </w:p>
    <w:p>
      <w:pPr>
        <w:pStyle w:val="FirstParagraph"/>
      </w:pPr>
      <w:r>
        <w:t xml:space="preserve">Sign the attorney’s engagement letter. Confirm: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Scope</w:t>
      </w:r>
      <w:r>
        <w:t xml:space="preserve">: Initial 2-hour consultation on independent-contractor classification for PureTask’s cleaning marketplace, with optional follow-up engagement on document review.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Fee structure</w:t>
      </w:r>
      <w:r>
        <w:t xml:space="preserve">: Hourly rate, flat fee, or capped engagement?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Conflicts check</w:t>
      </w:r>
      <w:r>
        <w:t xml:space="preserve">: Confirm no conflicts with cleaning-industry competitors, Stripe, Checkr, or major California employment-law cases.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Confidentiality</w:t>
      </w:r>
      <w:r>
        <w:t xml:space="preserve">: Standard attorney-client privilege applies.</w:t>
      </w:r>
    </w:p>
    <w:p>
      <w:pPr>
        <w:pStyle w:val="BodyText"/>
      </w:pPr>
      <w:r>
        <w:rPr>
          <w:bCs/>
          <w:b/>
        </w:rPr>
        <w:t xml:space="preserve">Recommended budget for this meeting:</w:t>
      </w:r>
      <w:r>
        <w:t xml:space="preserve"> </w:t>
      </w:r>
      <w:r>
        <w:t xml:space="preserve">$1,500–$3,000 (2 hours @ $750–$1,500/hour typical for senior gig-economy counsel in California).</w:t>
      </w:r>
    </w:p>
    <w:bookmarkEnd w:id="20"/>
    <w:bookmarkStart w:id="21" w:name="b.-pre-read-package-send-5-7-days-before"/>
    <w:p>
      <w:pPr>
        <w:pStyle w:val="Heading3"/>
      </w:pPr>
      <w:r>
        <w:t xml:space="preserve">B. Pre-Read Package (Send 5-7 Days Before)</w:t>
      </w:r>
    </w:p>
    <w:p>
      <w:pPr>
        <w:pStyle w:val="FirstParagraph"/>
      </w:pPr>
      <w:r>
        <w:t xml:space="preserve">Email the attorney a single PDF or shared folder containing: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One-page Business Overview</w:t>
      </w:r>
      <w:r>
        <w:t xml:space="preserve"> </w:t>
      </w:r>
      <w:r>
        <w:t xml:space="preserve">(write this fresh; see template in Part 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 06 — Pro Independent Contractor Agreement v2.0</w:t>
      </w:r>
      <w:r>
        <w:t xml:space="preserve"> </w:t>
      </w:r>
      <w:r>
        <w:t xml:space="preserve">(the main artifact for review).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 01 — Terms of Service v2.0</w:t>
      </w:r>
      <w:r>
        <w:t xml:space="preserve"> </w:t>
      </w:r>
      <w:r>
        <w:t xml:space="preserve">(Section 4 The Marketplace Model and Section 16 Independent Pro Provisions are key).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 14 — Launch Readiness Memo</w:t>
      </w:r>
      <w:r>
        <w:t xml:space="preserve"> </w:t>
      </w:r>
      <w:r>
        <w:t xml:space="preserve">(gives attorney quick context on overall posture).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 12 — Operational Launch Checklist</w:t>
      </w:r>
      <w:r>
        <w:t xml:space="preserve"> </w:t>
      </w:r>
      <w:r>
        <w:t xml:space="preserve">(shows attorney where this meeting fits in the timeline).</w:t>
      </w:r>
    </w:p>
    <w:p>
      <w:pPr>
        <w:pStyle w:val="FirstParagraph"/>
      </w:pPr>
      <w:r>
        <w:rPr>
          <w:bCs/>
          <w:b/>
        </w:rPr>
        <w:t xml:space="preserve">Email subject line</w:t>
      </w:r>
      <w:r>
        <w:t xml:space="preserve">:</w:t>
      </w:r>
      <w:r>
        <w:t xml:space="preserve"> </w:t>
      </w:r>
      <w:r>
        <w:t xml:space="preserve">“</w:t>
      </w:r>
      <w:r>
        <w:t xml:space="preserve">PureTask LLC — Pre-Read for [Date] 2-Hour Consultation on IC Classification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Email body template</w:t>
      </w:r>
      <w:r>
        <w:t xml:space="preserve">:</w:t>
      </w:r>
    </w:p>
    <w:p>
      <w:pPr>
        <w:pStyle w:val="BlockText"/>
      </w:pPr>
      <w:r>
        <w:t xml:space="preserve">Dear [Attorney Name],</w:t>
      </w:r>
    </w:p>
    <w:p>
      <w:pPr>
        <w:pStyle w:val="BlockText"/>
      </w:pPr>
      <w:r>
        <w:t xml:space="preserve">Thank you for taking on PureTask’s initial consultation on [Date]. The focus of our 2-hour meeting is independent-contractor classification under California law (Lab. Code § 2775, the ABC test, and the Borello common-law factors) for a cleaning-services marketplace operating in CA, TX, and FL.</w:t>
      </w:r>
    </w:p>
    <w:p>
      <w:pPr>
        <w:pStyle w:val="BlockText"/>
      </w:pPr>
      <w:r>
        <w:t xml:space="preserve">I have attached:</w:t>
      </w:r>
      <w:r>
        <w:t xml:space="preserve"> </w:t>
      </w:r>
      <w:r>
        <w:t xml:space="preserve">1. A one-page business overview describing how PureTask currently operates and intends to operate at launch</w:t>
      </w:r>
      <w:r>
        <w:t xml:space="preserve"> </w:t>
      </w:r>
      <w:r>
        <w:t xml:space="preserve">2. The draft Pro Independent Contractor Agreement (v2.0) that I would like you to review</w:t>
      </w:r>
      <w:r>
        <w:t xml:space="preserve"> </w:t>
      </w:r>
      <w:r>
        <w:t xml:space="preserve">3. The Terms of Service (v2.0), with the key sections highlighted for the marketplace structure</w:t>
      </w:r>
      <w:r>
        <w:t xml:space="preserve"> </w:t>
      </w:r>
      <w:r>
        <w:t xml:space="preserve">4. A self-assessed Launch Readiness Memo</w:t>
      </w:r>
      <w:r>
        <w:t xml:space="preserve"> </w:t>
      </w:r>
      <w:r>
        <w:t xml:space="preserve">5. The Operational Launch Checklist showing the broader timeline</w:t>
      </w:r>
    </w:p>
    <w:p>
      <w:pPr>
        <w:pStyle w:val="BlockText"/>
      </w:pPr>
      <w:r>
        <w:t xml:space="preserve">Before our meeting, I would value if you could:</w:t>
      </w:r>
      <w:r>
        <w:t xml:space="preserve"> </w:t>
      </w:r>
      <w:r>
        <w:t xml:space="preserve">- Skim the Pro IC Agreement (Doc 06) and flag the</w:t>
      </w:r>
      <w:r>
        <w:t xml:space="preserve"> </w:t>
      </w:r>
      <w:r>
        <w:rPr>
          <w:bCs/>
          <w:b/>
        </w:rPr>
        <w:t xml:space="preserve">3 weakest provisions</w:t>
      </w:r>
      <w:r>
        <w:t xml:space="preserve"> </w:t>
      </w:r>
      <w:r>
        <w:t xml:space="preserve">under California’s ABC test, especially Prong B</w:t>
      </w:r>
      <w:r>
        <w:t xml:space="preserve"> </w:t>
      </w:r>
      <w:r>
        <w:t xml:space="preserve">- Note any</w:t>
      </w:r>
      <w:r>
        <w:t xml:space="preserve"> </w:t>
      </w:r>
      <w:r>
        <w:rPr>
          <w:bCs/>
          <w:b/>
        </w:rPr>
        <w:t xml:space="preserve">operational practices</w:t>
      </w:r>
      <w:r>
        <w:t xml:space="preserve"> </w:t>
      </w:r>
      <w:r>
        <w:t xml:space="preserve">I should change to strengthen IC defense</w:t>
      </w:r>
      <w:r>
        <w:t xml:space="preserve"> </w:t>
      </w:r>
      <w:r>
        <w:t xml:space="preserve">- Identify any</w:t>
      </w:r>
      <w:r>
        <w:t xml:space="preserve"> </w:t>
      </w:r>
      <w:r>
        <w:rPr>
          <w:bCs/>
          <w:b/>
        </w:rPr>
        <w:t xml:space="preserve">immediate red flags</w:t>
      </w:r>
      <w:r>
        <w:t xml:space="preserve"> </w:t>
      </w:r>
      <w:r>
        <w:t xml:space="preserve">in the marketplace structure</w:t>
      </w:r>
    </w:p>
    <w:p>
      <w:pPr>
        <w:pStyle w:val="BlockText"/>
      </w:pPr>
      <w:r>
        <w:t xml:space="preserve">I will arrive with prepared questions organized into 4 timed sections so we make the most of the 2 hours. After our meeting I will send a summary memo of our discussion and any decisions.</w:t>
      </w:r>
    </w:p>
    <w:p>
      <w:pPr>
        <w:pStyle w:val="BlockText"/>
      </w:pPr>
      <w:r>
        <w:t xml:space="preserve">Best,</w:t>
      </w:r>
      <w:r>
        <w:t xml:space="preserve"> </w:t>
      </w:r>
      <w:r>
        <w:t xml:space="preserve">Nathan Chiaratti</w:t>
      </w:r>
    </w:p>
    <w:bookmarkEnd w:id="21"/>
    <w:bookmarkStart w:id="22" w:name="c.-what-to-bring-to-the-meeting"/>
    <w:p>
      <w:pPr>
        <w:pStyle w:val="Heading3"/>
      </w:pPr>
      <w:r>
        <w:t xml:space="preserve">C. What to Bring to the Meeting</w:t>
      </w:r>
    </w:p>
    <w:p>
      <w:pPr>
        <w:numPr>
          <w:ilvl w:val="0"/>
          <w:numId w:val="1003"/>
        </w:numPr>
        <w:pStyle w:val="Compact"/>
      </w:pPr>
      <w:r>
        <w:t xml:space="preserve">Printed copy of Doc 06 (Pro IC Agreement) with sticky notes on specific concerns</w:t>
      </w:r>
    </w:p>
    <w:p>
      <w:pPr>
        <w:numPr>
          <w:ilvl w:val="0"/>
          <w:numId w:val="1003"/>
        </w:numPr>
        <w:pStyle w:val="Compact"/>
      </w:pPr>
      <w:r>
        <w:t xml:space="preserve">This agenda document</w:t>
      </w:r>
    </w:p>
    <w:p>
      <w:pPr>
        <w:numPr>
          <w:ilvl w:val="0"/>
          <w:numId w:val="1003"/>
        </w:numPr>
        <w:pStyle w:val="Compact"/>
      </w:pPr>
      <w:r>
        <w:t xml:space="preserve">A blank notebook + pen (or laptop in note-taking mode)</w:t>
      </w:r>
    </w:p>
    <w:p>
      <w:pPr>
        <w:numPr>
          <w:ilvl w:val="0"/>
          <w:numId w:val="1003"/>
        </w:numPr>
        <w:pStyle w:val="Compact"/>
      </w:pPr>
      <w:r>
        <w:t xml:space="preserve">Specific scenarios you want covered (Section C.2 below)</w:t>
      </w:r>
    </w:p>
    <w:bookmarkEnd w:id="22"/>
    <w:bookmarkStart w:id="23" w:name="d.-mindset-for-the-meeting"/>
    <w:p>
      <w:pPr>
        <w:pStyle w:val="Heading3"/>
      </w:pPr>
      <w:r>
        <w:t xml:space="preserve">D. Mindset for the Meeting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Push for specific advice, not general framing.</w:t>
      </w:r>
      <w:r>
        <w:t xml:space="preserve"> </w:t>
      </w:r>
      <w:r>
        <w:t xml:space="preserve">Attorneys default to</w:t>
      </w:r>
      <w:r>
        <w:t xml:space="preserve"> </w:t>
      </w:r>
      <w:r>
        <w:t xml:space="preserve">“</w:t>
      </w:r>
      <w:r>
        <w:t xml:space="preserve">it depends.</w:t>
      </w:r>
      <w:r>
        <w:t xml:space="preserve">”</w:t>
      </w:r>
      <w:r>
        <w:t xml:space="preserve"> </w:t>
      </w:r>
      <w:r>
        <w:t xml:space="preserve">Push back:</w:t>
      </w:r>
      <w:r>
        <w:t xml:space="preserve"> </w:t>
      </w:r>
      <w:r>
        <w:t xml:space="preserve">“</w:t>
      </w:r>
      <w:r>
        <w:t xml:space="preserve">Given my specific facts, what would you do?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Decisions over discussion.</w:t>
      </w:r>
      <w:r>
        <w:t xml:space="preserve"> </w:t>
      </w:r>
      <w:r>
        <w:t xml:space="preserve">End each section with a decision or a clear next step.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 honest about messy facts.</w:t>
      </w:r>
      <w:r>
        <w:t xml:space="preserve"> </w:t>
      </w:r>
      <w:r>
        <w:t xml:space="preserve">If you’ve sent marketing copy describing</w:t>
      </w:r>
      <w:r>
        <w:t xml:space="preserve"> </w:t>
      </w:r>
      <w:r>
        <w:t xml:space="preserve">“</w:t>
      </w:r>
      <w:r>
        <w:t xml:space="preserve">our team</w:t>
      </w:r>
      <w:r>
        <w:t xml:space="preserve">”</w:t>
      </w:r>
      <w:r>
        <w:t xml:space="preserve"> </w:t>
      </w:r>
      <w:r>
        <w:t xml:space="preserve">of cleaners, tell the attorney. Hiding facts gets you bad advice.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Don’t try to negotiate fees during this meeting.</w:t>
      </w:r>
      <w:r>
        <w:t xml:space="preserve"> </w:t>
      </w:r>
      <w:r>
        <w:t xml:space="preserve">Focus on the content.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part-2-the-meeting-agenda-2-hours"/>
    <w:p>
      <w:pPr>
        <w:pStyle w:val="Heading2"/>
      </w:pPr>
      <w:r>
        <w:t xml:space="preserve">Part 2 — The Meeting Agenda (2 Hours)</w:t>
      </w:r>
    </w:p>
    <w:bookmarkStart w:id="25" w:name="Xe5833d41085a7f8aea0561b368c300cf4b513d2"/>
    <w:p>
      <w:pPr>
        <w:pStyle w:val="Heading3"/>
      </w:pPr>
      <w:r>
        <w:t xml:space="preserve">Section 1 — Background and Current Status of CA Gig-Economy Law (15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Make sure the attorney’s read of</w:t>
      </w:r>
      <w:r>
        <w:t xml:space="preserve"> </w:t>
      </w:r>
      <w:r>
        <w:rPr>
          <w:iCs/>
          <w:i/>
        </w:rPr>
        <w:t xml:space="preserve">recent</w:t>
      </w:r>
      <w:r>
        <w:t xml:space="preserve"> </w:t>
      </w:r>
      <w:r>
        <w:t xml:space="preserve">California caselaw aligns with what you’ve planned for. Catch any law changes since you drafted Doc 06.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05"/>
        </w:numPr>
        <w:pStyle w:val="Compact"/>
      </w:pPr>
      <w:r>
        <w:t xml:space="preserve">What are the most material developments in California gig-economy law in the last 12 months that affect a cleaning marketplace specifically?</w:t>
      </w:r>
    </w:p>
    <w:p>
      <w:pPr>
        <w:numPr>
          <w:ilvl w:val="0"/>
          <w:numId w:val="1005"/>
        </w:numPr>
        <w:pStyle w:val="Compact"/>
      </w:pPr>
      <w:r>
        <w:t xml:space="preserve">How are courts currently applying the ABC test (Lab. Code § 2775) to marketplaces that match consumers with individual service providers?</w:t>
      </w:r>
    </w:p>
    <w:p>
      <w:pPr>
        <w:numPr>
          <w:ilvl w:val="0"/>
          <w:numId w:val="1005"/>
        </w:numPr>
        <w:pStyle w:val="Compact"/>
      </w:pPr>
      <w:r>
        <w:t xml:space="preserve">Have there been any class actions or settlements involving cleaning-service marketplaces (Handy, Homejoy, others) that I should learn from?</w:t>
      </w:r>
    </w:p>
    <w:p>
      <w:pPr>
        <w:numPr>
          <w:ilvl w:val="0"/>
          <w:numId w:val="1005"/>
        </w:numPr>
        <w:pStyle w:val="Compact"/>
      </w:pPr>
      <w:r>
        <w:t xml:space="preserve">How does Cal-PAGA (Lab. Code § 2698) currently interact with arbitration agreements after</w:t>
      </w:r>
      <w:r>
        <w:t xml:space="preserve"> </w:t>
      </w:r>
      <w:r>
        <w:rPr>
          <w:iCs/>
          <w:i/>
        </w:rPr>
        <w:t xml:space="preserve">Adolph v. Uber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Has anyone successfully defended the Prong B</w:t>
      </w:r>
      <w:r>
        <w:t xml:space="preserve"> </w:t>
      </w:r>
      <w:r>
        <w:t xml:space="preserve">“</w:t>
      </w:r>
      <w:r>
        <w:t xml:space="preserve">outside the usual course of business</w:t>
      </w:r>
      <w:r>
        <w:t xml:space="preserve">”</w:t>
      </w:r>
      <w:r>
        <w:t xml:space="preserve"> </w:t>
      </w:r>
      <w:r>
        <w:t xml:space="preserve">prong for a cleaning marketplace? If so, what facts were decisive?</w:t>
      </w:r>
    </w:p>
    <w:p>
      <w:pPr>
        <w:pStyle w:val="FirstParagraph"/>
      </w:pPr>
      <w:r>
        <w:rPr>
          <w:bCs/>
          <w:b/>
        </w:rPr>
        <w:t xml:space="preserve">Watch for:</w:t>
      </w:r>
      <w:r>
        <w:t xml:space="preserve"> </w:t>
      </w:r>
      <w:r>
        <w:t xml:space="preserve">If the attorney’s answers reveal recent unfavorable rulings or settlements you weren’t aware of, this could change your overall structure decision (see Section 4).</w:t>
      </w:r>
    </w:p>
    <w:p>
      <w:r>
        <w:pict>
          <v:rect style="width:0;height:1.5pt" o:hralign="center" o:hrstd="t" o:hr="t"/>
        </w:pict>
      </w:r>
    </w:p>
    <w:bookmarkEnd w:id="25"/>
    <w:bookmarkStart w:id="26" w:name="X930c76a59854cc47f7a37976ea73075f6cede5a"/>
    <w:p>
      <w:pPr>
        <w:pStyle w:val="Heading3"/>
      </w:pPr>
      <w:r>
        <w:t xml:space="preserve">Section 2 — Pro IC Agreement Review (Doc 06) (25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specific feedback on what’s strong, what’s weak, and what to change in the Pro IC Agreement.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06"/>
        </w:numPr>
        <w:pStyle w:val="Compact"/>
      </w:pPr>
      <w:r>
        <w:t xml:space="preserve">Walk me through your top 3 concerns with the Pro IC Agreement (Doc 06) under the ABC test.</w:t>
      </w:r>
    </w:p>
    <w:p>
      <w:pPr>
        <w:numPr>
          <w:ilvl w:val="0"/>
          <w:numId w:val="1006"/>
        </w:numPr>
        <w:pStyle w:val="Compact"/>
      </w:pPr>
      <w:r>
        <w:t xml:space="preserve">Is the Section 3.3 ABC Test Acknowledgment language enforceable, or is it overreach that a court will ignore?</w:t>
      </w:r>
    </w:p>
    <w:p>
      <w:pPr>
        <w:numPr>
          <w:ilvl w:val="0"/>
          <w:numId w:val="1006"/>
        </w:numPr>
        <w:pStyle w:val="Compact"/>
      </w:pPr>
      <w:r>
        <w:t xml:space="preserve">The agreement reframes PureTask’s</w:t>
      </w:r>
      <w:r>
        <w:t xml:space="preserve"> </w:t>
      </w:r>
      <w:r>
        <w:t xml:space="preserve">“</w:t>
      </w:r>
      <w:r>
        <w:t xml:space="preserve">usual course of business</w:t>
      </w:r>
      <w:r>
        <w:t xml:space="preserve">”</w:t>
      </w:r>
      <w:r>
        <w:t xml:space="preserve"> </w:t>
      </w:r>
      <w:r>
        <w:t xml:space="preserve">as marketplace technology, payment-processing facilitation, dispute mediation, and trust-and-safety (Section 3.3 Prong B). Is this a defensible characterization, or will a court look at substance over form?</w:t>
      </w:r>
    </w:p>
    <w:p>
      <w:pPr>
        <w:numPr>
          <w:ilvl w:val="0"/>
          <w:numId w:val="1006"/>
        </w:numPr>
        <w:pStyle w:val="Compact"/>
      </w:pPr>
      <w:r>
        <w:t xml:space="preserve">Are the</w:t>
      </w:r>
      <w:r>
        <w:t xml:space="preserve"> </w:t>
      </w:r>
      <w:r>
        <w:t xml:space="preserve">“</w:t>
      </w:r>
      <w:r>
        <w:t xml:space="preserve">Pro’s Rights and Freedoms</w:t>
      </w:r>
      <w:r>
        <w:t xml:space="preserve">”</w:t>
      </w:r>
      <w:r>
        <w:t xml:space="preserve"> </w:t>
      </w:r>
      <w:r>
        <w:t xml:space="preserve">in Section 4 (schedule, rates, decline-without-penalty, work-for-others, substitute) sufficient to satisfy Prong A?</w:t>
      </w:r>
    </w:p>
    <w:p>
      <w:pPr>
        <w:numPr>
          <w:ilvl w:val="0"/>
          <w:numId w:val="1006"/>
        </w:numPr>
        <w:pStyle w:val="Compact"/>
      </w:pPr>
      <w:r>
        <w:t xml:space="preserve">Is Section 12 (Indemnification, specifically misclassification indemnity) enforceable against an individual Pro? Or will a court strike it as unconscionable?</w:t>
      </w:r>
    </w:p>
    <w:p>
      <w:pPr>
        <w:numPr>
          <w:ilvl w:val="0"/>
          <w:numId w:val="1006"/>
        </w:numPr>
        <w:pStyle w:val="Compact"/>
      </w:pPr>
      <w:r>
        <w:t xml:space="preserve">Is the 14-day cure period in Section 15.3 too long, too short, or appropriate?</w:t>
      </w:r>
    </w:p>
    <w:p>
      <w:pPr>
        <w:numPr>
          <w:ilvl w:val="0"/>
          <w:numId w:val="1006"/>
        </w:numPr>
        <w:pStyle w:val="Compact"/>
      </w:pPr>
      <w:r>
        <w:t xml:space="preserve">The Section 16</w:t>
      </w:r>
      <w:r>
        <w:t xml:space="preserve"> </w:t>
      </w:r>
      <w:r>
        <w:t xml:space="preserve">“</w:t>
      </w:r>
      <w:r>
        <w:t xml:space="preserve">no restrictive covenants except the Platform Attribution Fee</w:t>
      </w:r>
      <w:r>
        <w:t xml:space="preserve">”</w:t>
      </w:r>
      <w:r>
        <w:t xml:space="preserve"> </w:t>
      </w:r>
      <w:r>
        <w:t xml:space="preserve">(which applies to Clients, not Pros) — is this fully compliant with § 16600 / SB 699, or do I need to remove it entirely?</w:t>
      </w:r>
    </w:p>
    <w:p>
      <w:pPr>
        <w:numPr>
          <w:ilvl w:val="0"/>
          <w:numId w:val="1006"/>
        </w:numPr>
        <w:pStyle w:val="Compact"/>
      </w:pPr>
      <w:r>
        <w:t xml:space="preserve">Anything I should ADD that’s missing?</w:t>
      </w:r>
    </w:p>
    <w:p>
      <w:pPr>
        <w:numPr>
          <w:ilvl w:val="0"/>
          <w:numId w:val="1006"/>
        </w:numPr>
        <w:pStyle w:val="Compact"/>
      </w:pPr>
      <w:r>
        <w:t xml:space="preserve">Anything I should REMOVE that creates more risk than it mitigates?</w:t>
      </w:r>
    </w:p>
    <w:p>
      <w:pPr>
        <w:pStyle w:val="FirstParagraph"/>
      </w:pPr>
      <w:r>
        <w:rPr>
          <w:bCs/>
          <w:b/>
        </w:rPr>
        <w:t xml:space="preserve">Watch for:</w:t>
      </w:r>
      <w:r>
        <w:t xml:space="preserve"> </w:t>
      </w:r>
      <w:r>
        <w:t xml:space="preserve">The attorney should be able to articulate</w:t>
      </w:r>
      <w:r>
        <w:t xml:space="preserve"> </w:t>
      </w:r>
      <w:r>
        <w:rPr>
          <w:bCs/>
          <w:b/>
        </w:rPr>
        <w:t xml:space="preserve">3 specific edits</w:t>
      </w:r>
      <w:r>
        <w:t xml:space="preserve"> </w:t>
      </w:r>
      <w:r>
        <w:t xml:space="preserve">they would make. If they only say</w:t>
      </w:r>
      <w:r>
        <w:t xml:space="preserve"> </w:t>
      </w:r>
      <w:r>
        <w:t xml:space="preserve">“</w:t>
      </w:r>
      <w:r>
        <w:t xml:space="preserve">looks fine,</w:t>
      </w:r>
      <w:r>
        <w:t xml:space="preserve">”</w:t>
      </w:r>
      <w:r>
        <w:t xml:space="preserve"> </w:t>
      </w:r>
      <w:r>
        <w:t xml:space="preserve">push harder or get a second opinion.</w:t>
      </w:r>
    </w:p>
    <w:p>
      <w:r>
        <w:pict>
          <v:rect style="width:0;height:1.5pt" o:hralign="center" o:hrstd="t" o:hr="t"/>
        </w:pict>
      </w:r>
    </w:p>
    <w:bookmarkEnd w:id="26"/>
    <w:bookmarkStart w:id="27" w:name="Xef563f2f4ba30c248638ea93a82448851a5896f"/>
    <w:p>
      <w:pPr>
        <w:pStyle w:val="Heading3"/>
      </w:pPr>
      <w:r>
        <w:t xml:space="preserve">Section 3 — Operational Practices Review (15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Beyond paper, what operational behaviors strengthen or undermine IC defense?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07"/>
        </w:numPr>
        <w:pStyle w:val="Compact"/>
      </w:pPr>
      <w:r>
        <w:t xml:space="preserve">What marketing language, copy, or business practices most commonly undermine IC defense? Things to avoid?</w:t>
      </w:r>
    </w:p>
    <w:p>
      <w:pPr>
        <w:numPr>
          <w:ilvl w:val="0"/>
          <w:numId w:val="1007"/>
        </w:numPr>
        <w:pStyle w:val="Compact"/>
      </w:pPr>
      <w:r>
        <w:t xml:space="preserve">The Reliability Indicator (Doc 06 Section 4.4 and Doc 01 Section 12 — neutral signals like on-time arrival, completion rate, dispute history) — is this safe to show on Pro profiles, or does it create control evidence?</w:t>
      </w:r>
    </w:p>
    <w:p>
      <w:pPr>
        <w:numPr>
          <w:ilvl w:val="0"/>
          <w:numId w:val="1007"/>
        </w:numPr>
        <w:pStyle w:val="Compact"/>
      </w:pPr>
      <w:r>
        <w:t xml:space="preserve">The voluntary trust-and-safety features (GPS check-in, before/after photos, in-app time tracking) — under what circumstances do these become evidence of control over the manner and means of work?</w:t>
      </w:r>
    </w:p>
    <w:p>
      <w:pPr>
        <w:numPr>
          <w:ilvl w:val="0"/>
          <w:numId w:val="1007"/>
        </w:numPr>
        <w:pStyle w:val="Compact"/>
      </w:pPr>
      <w:r>
        <w:t xml:space="preserve">The flat per-Booking Platform Fee (vs. a percentage commission) — does this strengthen or weaken IC defense compared to a typical marketplace?</w:t>
      </w:r>
    </w:p>
    <w:p>
      <w:pPr>
        <w:numPr>
          <w:ilvl w:val="0"/>
          <w:numId w:val="1007"/>
        </w:numPr>
        <w:pStyle w:val="Compact"/>
      </w:pPr>
      <w:r>
        <w:t xml:space="preserve">The 30-day Platform Attribution Fee for off-Platform circumvention — is this enforceable, or does it look like restraint of trade despite the liquidated-damages framing?</w:t>
      </w:r>
    </w:p>
    <w:p>
      <w:pPr>
        <w:numPr>
          <w:ilvl w:val="0"/>
          <w:numId w:val="1007"/>
        </w:numPr>
        <w:pStyle w:val="Compact"/>
      </w:pPr>
      <w:r>
        <w:t xml:space="preserve">Cleaning Pros entering Client homes raises trust-and-safety questions. What operational practices (background checks, identity verification, mandatory reporting) can I require WITHOUT crossing into control over the manner of work?</w:t>
      </w:r>
    </w:p>
    <w:p>
      <w:pPr>
        <w:numPr>
          <w:ilvl w:val="0"/>
          <w:numId w:val="1007"/>
        </w:numPr>
        <w:pStyle w:val="Compact"/>
      </w:pPr>
      <w:r>
        <w:t xml:space="preserve">Where does PureTask’s customer support sit on the line between</w:t>
      </w:r>
      <w:r>
        <w:t xml:space="preserve"> </w:t>
      </w:r>
      <w:r>
        <w:t xml:space="preserve">“</w:t>
      </w:r>
      <w:r>
        <w:t xml:space="preserve">marketplace neutrality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employer-like supervision</w:t>
      </w:r>
      <w:r>
        <w:t xml:space="preserve">”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Watch for:</w:t>
      </w:r>
      <w:r>
        <w:t xml:space="preserve"> </w:t>
      </w:r>
      <w:r>
        <w:t xml:space="preserve">Specific operational changes the attorney recommends. Capture these for implementation, not just in your head.</w:t>
      </w:r>
    </w:p>
    <w:p>
      <w:r>
        <w:pict>
          <v:rect style="width:0;height:1.5pt" o:hralign="center" o:hrstd="t" o:hr="t"/>
        </w:pict>
      </w:r>
    </w:p>
    <w:bookmarkEnd w:id="27"/>
    <w:bookmarkStart w:id="28" w:name="X6f49faea11f18f1878cb0caf607616886acef26"/>
    <w:p>
      <w:pPr>
        <w:pStyle w:val="Heading3"/>
      </w:pPr>
      <w:r>
        <w:t xml:space="preserve">Section 4 — Strategic Alternatives and Multi-State (20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Decide whether to launch with the current IC structure in California, or to consider alternatives.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Given my current Pro IC Agreement and operational structure, what’s your professional estimate of the probability that:</w:t>
      </w:r>
    </w:p>
    <w:p>
      <w:pPr>
        <w:numPr>
          <w:ilvl w:val="1"/>
          <w:numId w:val="1009"/>
        </w:numPr>
        <w:pStyle w:val="Compact"/>
      </w:pPr>
      <w:r>
        <w:t xml:space="preserve">A plaintiff’s law firm will file a class action within the first 3 years of public launch?</w:t>
      </w:r>
    </w:p>
    <w:p>
      <w:pPr>
        <w:numPr>
          <w:ilvl w:val="1"/>
          <w:numId w:val="1009"/>
        </w:numPr>
        <w:pStyle w:val="Compact"/>
      </w:pPr>
      <w:r>
        <w:t xml:space="preserve">That class action would survive a motion to dismiss?</w:t>
      </w:r>
    </w:p>
    <w:p>
      <w:pPr>
        <w:numPr>
          <w:ilvl w:val="1"/>
          <w:numId w:val="1009"/>
        </w:numPr>
        <w:pStyle w:val="Compact"/>
      </w:pPr>
      <w:r>
        <w:t xml:space="preserve">PureTask would survive a Prong B challenge at summary judgment?</w:t>
      </w:r>
    </w:p>
    <w:p>
      <w:pPr>
        <w:numPr>
          <w:ilvl w:val="1"/>
          <w:numId w:val="1009"/>
        </w:numPr>
        <w:pStyle w:val="Compact"/>
      </w:pPr>
      <w:r>
        <w:t xml:space="preserve">The case would settle vs. proceed to verdict?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What’s the realistic worst-case financial exposure</w:t>
      </w:r>
      <w:r>
        <w:t xml:space="preserve"> </w:t>
      </w:r>
      <w:r>
        <w:t xml:space="preserve">if PureTask loses on Prong B in California? (Back-wages, PAGA penalties, attorneys’ fees, settlement order of magnitude.)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Would you recommend</w:t>
      </w:r>
      <w:r>
        <w:t xml:space="preserve"> </w:t>
      </w:r>
      <w:r>
        <w:t xml:space="preserve">launching with the current IC structure in California, or alternatives: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Option A</w:t>
      </w:r>
      <w:r>
        <w:t xml:space="preserve">: Status quo. Launch with IC structure, mitigate operationally, accept Prong B risk.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Option B</w:t>
      </w:r>
      <w:r>
        <w:t xml:space="preserve">: W-2 employment model in California, IC in TX and FL. Higher cost, lower legal risk in CA.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Option C</w:t>
      </w:r>
      <w:r>
        <w:t xml:space="preserve">: Delay California launch entirely. Launch in TX/FL first, return to CA when Pro density justifies a fee floor that economically supports W-2.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Option D</w:t>
      </w:r>
      <w:r>
        <w:t xml:space="preserve">: Some other hybrid you have not considered.</w:t>
      </w:r>
    </w:p>
    <w:p>
      <w:pPr>
        <w:numPr>
          <w:ilvl w:val="0"/>
          <w:numId w:val="1008"/>
        </w:numPr>
      </w:pPr>
      <w:r>
        <w:t xml:space="preserve">If we choose Option A, what’s the</w:t>
      </w:r>
      <w:r>
        <w:t xml:space="preserve"> </w:t>
      </w:r>
      <w:r>
        <w:rPr>
          <w:bCs/>
          <w:b/>
        </w:rPr>
        <w:t xml:space="preserve">fastest, cheapest way to fail well</w:t>
      </w:r>
      <w:r>
        <w:t xml:space="preserve"> </w:t>
      </w:r>
      <w:r>
        <w:t xml:space="preserve">if a class action arrives — i.e., quick settlement, asset protection, reorganization?</w:t>
      </w:r>
    </w:p>
    <w:p>
      <w:pPr>
        <w:numPr>
          <w:ilvl w:val="0"/>
          <w:numId w:val="1008"/>
        </w:numPr>
      </w:pPr>
      <w:r>
        <w:t xml:space="preserve">What’s your view of</w:t>
      </w:r>
      <w:r>
        <w:t xml:space="preserve"> </w:t>
      </w:r>
      <w:r>
        <w:rPr>
          <w:bCs/>
          <w:b/>
        </w:rPr>
        <w:t xml:space="preserve">multi-state expansion</w:t>
      </w:r>
      <w:r>
        <w:t xml:space="preserve">: launching in TX and FL gives me revenue diversification away from CA risk. How aggressively should I prioritize that?</w:t>
      </w:r>
    </w:p>
    <w:p>
      <w:pPr>
        <w:numPr>
          <w:ilvl w:val="0"/>
          <w:numId w:val="1008"/>
        </w:numPr>
      </w:pPr>
      <w:r>
        <w:t xml:space="preserve">Is</w:t>
      </w:r>
      <w:r>
        <w:t xml:space="preserve"> </w:t>
      </w:r>
      <w:r>
        <w:rPr>
          <w:bCs/>
          <w:b/>
        </w:rPr>
        <w:t xml:space="preserve">federal preemption</w:t>
      </w:r>
      <w:r>
        <w:t xml:space="preserve"> </w:t>
      </w:r>
      <w:r>
        <w:t xml:space="preserve">under the Federal Arbitration Act still a viable defense path for individual Pro claims in 2026? Or has the CA Supreme Court’s view in</w:t>
      </w:r>
      <w:r>
        <w:t xml:space="preserve"> </w:t>
      </w:r>
      <w:r>
        <w:rPr>
          <w:iCs/>
          <w:i/>
        </w:rPr>
        <w:t xml:space="preserve">Adolph</w:t>
      </w:r>
      <w:r>
        <w:t xml:space="preserve"> </w:t>
      </w:r>
      <w:r>
        <w:t xml:space="preserve">effectively neutered it?</w:t>
      </w:r>
    </w:p>
    <w:p>
      <w:pPr>
        <w:pStyle w:val="FirstParagraph"/>
      </w:pPr>
      <w:r>
        <w:rPr>
          <w:bCs/>
          <w:b/>
        </w:rPr>
        <w:t xml:space="preserve">Watch for:</w:t>
      </w:r>
      <w:r>
        <w:t xml:space="preserve"> </w:t>
      </w:r>
      <w:r>
        <w:t xml:space="preserve">A specific recommendation. If the attorney refuses to recommend, ask:</w:t>
      </w:r>
      <w:r>
        <w:t xml:space="preserve"> </w:t>
      </w:r>
      <w:r>
        <w:t xml:space="preserve">“</w:t>
      </w:r>
      <w:r>
        <w:t xml:space="preserve">Given everything you know, would you personally launch this in California today?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Start w:id="29" w:name="section-5-other-compliance-topics-15-min"/>
    <w:p>
      <w:pPr>
        <w:pStyle w:val="Heading3"/>
      </w:pPr>
      <w:r>
        <w:t xml:space="preserve">Section 5 — Other Compliance Topics (15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Cover the secondary compliance items that may be lower priority but still material.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Stripe Connect Express as agent-of-payee</w:t>
      </w:r>
      <w:r>
        <w:t xml:space="preserve">: Does the architecture in Doc 06 Section 8 reliably qualify for the Cal. Fin. Code § 2010(l) exemption from money transmitter licensing? Anything to strengthen?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Background checks (Doc 07 FCRA Disclosure + Doc 07A/07B Pre/Adverse Action)</w:t>
      </w:r>
      <w:r>
        <w:t xml:space="preserve">: Does the standalone FCRA disclosure meet the</w:t>
      </w:r>
      <w:r>
        <w:t xml:space="preserve"> </w:t>
      </w:r>
      <w:r>
        <w:rPr>
          <w:iCs/>
          <w:i/>
        </w:rPr>
        <w:t xml:space="preserve">Gilberg</w:t>
      </w:r>
      <w:r>
        <w:t xml:space="preserve"> </w:t>
      </w:r>
      <w:r>
        <w:t xml:space="preserve">standard? Are the California Fair Chance Act / AB 2188 / SB 700 protections correctly addressed?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SMS/TCPA compliance (Doc 08)</w:t>
      </w:r>
      <w:r>
        <w:t xml:space="preserve">: Does the two-tier consent flow with TCPA quiet hours and Florida FTSA compliance satisfy your reading of the law?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CCPA/CPRA (Doc 02)</w:t>
      </w:r>
      <w:r>
        <w:t xml:space="preserve">: Are there any specific California Privacy Protection Agency (CPPA) enforcement priorities I should be aware of for marketplaces?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Trademark registration</w:t>
      </w:r>
      <w:r>
        <w:t xml:space="preserve">: Should I register</w:t>
      </w:r>
      <w:r>
        <w:t xml:space="preserve"> </w:t>
      </w:r>
      <w:r>
        <w:t xml:space="preserve">“</w:t>
      </w:r>
      <w:r>
        <w:t xml:space="preserve">PureTask</w:t>
      </w:r>
      <w:r>
        <w:t xml:space="preserve">”</w:t>
      </w:r>
      <w:r>
        <w:t xml:space="preserve"> </w:t>
      </w:r>
      <w:r>
        <w:t xml:space="preserve">and the Dash mascot now, or wait until launch? Any nominative-fair-use concerns about competitors using my name in comparative advertising?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Insurance</w:t>
      </w:r>
      <w:r>
        <w:t xml:space="preserve">: At a $300k/$1M CGL minimum for Pros, am I adequately protected if a Pro causes property damage or injury? Should I require higher minimums?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Anything I am NOT asking about that I should be?</w:t>
      </w:r>
    </w:p>
    <w:p>
      <w:r>
        <w:pict>
          <v:rect style="width:0;height:1.5pt" o:hralign="center" o:hrstd="t" o:hr="t"/>
        </w:pict>
      </w:r>
    </w:p>
    <w:bookmarkEnd w:id="29"/>
    <w:bookmarkStart w:id="35" w:name="Xf9b846e9947c1ecf48d3e2e0a7061a20770f87d"/>
    <w:p>
      <w:pPr>
        <w:pStyle w:val="Heading3"/>
      </w:pPr>
      <w:r>
        <w:t xml:space="preserve">Section 6 — Decisions, Action Items, and Next Steps (15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Convert the meeting into a written action list.</w:t>
      </w:r>
    </w:p>
    <w:p>
      <w:pPr>
        <w:pStyle w:val="BodyText"/>
      </w:pPr>
      <w:r>
        <w:rPr>
          <w:bCs/>
          <w:b/>
        </w:rPr>
        <w:t xml:space="preserve">At the end of the meeting, fill in this template TOGETHER WITH the attorney before they leave:</w:t>
      </w:r>
    </w:p>
    <w:bookmarkStart w:id="30" w:name="decisions-made"/>
    <w:p>
      <w:pPr>
        <w:pStyle w:val="Heading4"/>
      </w:pPr>
      <w:r>
        <w:t xml:space="preserve">Decisions Made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Independent Contractor Structure</w:t>
      </w:r>
      <w:r>
        <w:t xml:space="preserve">: ___________ (Option A / B / C / D from Section 4)</w:t>
      </w:r>
    </w:p>
    <w:p>
      <w:pPr>
        <w:numPr>
          <w:ilvl w:val="1"/>
          <w:numId w:val="1013"/>
        </w:numPr>
        <w:pStyle w:val="Compact"/>
      </w:pPr>
      <w:r>
        <w:t xml:space="preserve">Rationale: _____________________________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Required edits to Pro IC Agreement (Doc 06)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Edit 1: _____________________________</w:t>
      </w:r>
    </w:p>
    <w:p>
      <w:pPr>
        <w:numPr>
          <w:ilvl w:val="1"/>
          <w:numId w:val="1014"/>
        </w:numPr>
        <w:pStyle w:val="Compact"/>
      </w:pPr>
      <w:r>
        <w:t xml:space="preserve">Edit 2: _____________________________</w:t>
      </w:r>
    </w:p>
    <w:p>
      <w:pPr>
        <w:numPr>
          <w:ilvl w:val="1"/>
          <w:numId w:val="1014"/>
        </w:numPr>
        <w:pStyle w:val="Compact"/>
      </w:pPr>
      <w:r>
        <w:t xml:space="preserve">Edit 3: _____________________________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Operational changes required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Change 1: _____________________________</w:t>
      </w:r>
    </w:p>
    <w:p>
      <w:pPr>
        <w:numPr>
          <w:ilvl w:val="1"/>
          <w:numId w:val="1015"/>
        </w:numPr>
        <w:pStyle w:val="Compact"/>
      </w:pPr>
      <w:r>
        <w:t xml:space="preserve">Change 2: _____________________________</w:t>
      </w:r>
    </w:p>
    <w:p>
      <w:pPr>
        <w:numPr>
          <w:ilvl w:val="1"/>
          <w:numId w:val="1015"/>
        </w:numPr>
        <w:pStyle w:val="Compact"/>
      </w:pPr>
      <w:r>
        <w:t xml:space="preserve">Change 3: _____________________________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California launch decision</w:t>
      </w:r>
      <w:r>
        <w:t xml:space="preserve">: ☐ Proceed in current form ☐ Delay ☐ Modify before launch</w:t>
      </w:r>
    </w:p>
    <w:p>
      <w:pPr>
        <w:numPr>
          <w:ilvl w:val="1"/>
          <w:numId w:val="1016"/>
        </w:numPr>
        <w:pStyle w:val="Compact"/>
      </w:pPr>
      <w:r>
        <w:t xml:space="preserve">Conditions: _____________________________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Multi-state expansion sequencing</w:t>
      </w:r>
      <w:r>
        <w:t xml:space="preserve">: _____________________________</w:t>
      </w:r>
    </w:p>
    <w:bookmarkEnd w:id="30"/>
    <w:bookmarkStart w:id="31" w:name="follow-up-engagement"/>
    <w:p>
      <w:pPr>
        <w:pStyle w:val="Heading4"/>
      </w:pPr>
      <w:r>
        <w:t xml:space="preserve">Follow-up Engagement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Scope of follow-up work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Estimated cost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Timeline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Deliverables</w:t>
      </w:r>
      <w:r>
        <w:t xml:space="preserve">:</w:t>
      </w:r>
    </w:p>
    <w:bookmarkEnd w:id="31"/>
    <w:bookmarkStart w:id="32" w:name="open-questions-to-research-further"/>
    <w:p>
      <w:pPr>
        <w:pStyle w:val="Heading4"/>
      </w:pPr>
      <w:r>
        <w:t xml:space="preserve">Open Questions to Research Further</w:t>
      </w:r>
    </w:p>
    <w:p>
      <w:pPr>
        <w:numPr>
          <w:ilvl w:val="0"/>
          <w:numId w:val="1018"/>
        </w:numPr>
        <w:pStyle w:val="Compact"/>
      </w:pPr>
      <w:r>
        <w:t xml:space="preserve">Question 1: _____________________________</w:t>
      </w:r>
    </w:p>
    <w:p>
      <w:pPr>
        <w:numPr>
          <w:ilvl w:val="0"/>
          <w:numId w:val="1018"/>
        </w:numPr>
        <w:pStyle w:val="Compact"/>
      </w:pPr>
      <w:r>
        <w:t xml:space="preserve">Question 2: _____________________________</w:t>
      </w:r>
    </w:p>
    <w:bookmarkEnd w:id="32"/>
    <w:bookmarkStart w:id="33" w:name="documents-to-update"/>
    <w:p>
      <w:pPr>
        <w:pStyle w:val="Heading4"/>
      </w:pPr>
      <w:r>
        <w:t xml:space="preserve">Documents to Update</w:t>
      </w:r>
    </w:p>
    <w:p>
      <w:pPr>
        <w:numPr>
          <w:ilvl w:val="0"/>
          <w:numId w:val="1019"/>
        </w:numPr>
        <w:pStyle w:val="Compact"/>
      </w:pPr>
      <w:r>
        <w:t xml:space="preserve">☐ Doc 06 Pro IC Agreement — incorporate edits 1-3 above</w:t>
      </w:r>
    </w:p>
    <w:p>
      <w:pPr>
        <w:numPr>
          <w:ilvl w:val="0"/>
          <w:numId w:val="1019"/>
        </w:numPr>
        <w:pStyle w:val="Compact"/>
      </w:pPr>
      <w:r>
        <w:t xml:space="preserve">☐ Doc 01 Terms of Service — Section 4, Section 16 if affected</w:t>
      </w:r>
    </w:p>
    <w:p>
      <w:pPr>
        <w:numPr>
          <w:ilvl w:val="0"/>
          <w:numId w:val="1019"/>
        </w:numPr>
        <w:pStyle w:val="Compact"/>
      </w:pPr>
      <w:r>
        <w:t xml:space="preserve">☐ Other: _____________________________</w:t>
      </w:r>
    </w:p>
    <w:bookmarkEnd w:id="33"/>
    <w:bookmarkStart w:id="34" w:name="next-meeting"/>
    <w:p>
      <w:pPr>
        <w:pStyle w:val="Heading4"/>
      </w:pPr>
      <w:r>
        <w:t xml:space="preserve">Next Meeting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Date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Purpose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part-3-watch-outs-during-the-meeting"/>
    <w:p>
      <w:pPr>
        <w:pStyle w:val="Heading2"/>
      </w:pPr>
      <w:r>
        <w:t xml:space="preserve">Part 3 — Watch-Outs During the Meeting</w:t>
      </w:r>
    </w:p>
    <w:p>
      <w:pPr>
        <w:pStyle w:val="FirstParagraph"/>
      </w:pPr>
      <w:r>
        <w:t xml:space="preserve">These are the moments to</w:t>
      </w:r>
      <w:r>
        <w:t xml:space="preserve"> </w:t>
      </w:r>
      <w:r>
        <w:rPr>
          <w:bCs/>
          <w:b/>
        </w:rPr>
        <w:t xml:space="preserve">slow down, take notes, and push for specifics</w:t>
      </w:r>
      <w:r>
        <w:t xml:space="preserve">:</w:t>
      </w:r>
    </w:p>
    <w:bookmarkStart w:id="37" w:name="when-the-attorney-says-it-depends"/>
    <w:p>
      <w:pPr>
        <w:pStyle w:val="Heading3"/>
      </w:pPr>
      <w:r>
        <w:t xml:space="preserve">When the Attorney Says</w:t>
      </w:r>
      <w:r>
        <w:t xml:space="preserve"> </w:t>
      </w:r>
      <w:r>
        <w:t xml:space="preserve">“</w:t>
      </w:r>
      <w:r>
        <w:t xml:space="preserve">It Depends</w:t>
      </w:r>
      <w:r>
        <w:t xml:space="preserve">”</w:t>
      </w:r>
    </w:p>
    <w:p>
      <w:pPr>
        <w:pStyle w:val="FirstParagraph"/>
      </w:pPr>
      <w:r>
        <w:t xml:space="preserve">Push back:</w:t>
      </w:r>
      <w:r>
        <w:t xml:space="preserve"> </w:t>
      </w:r>
      <w:r>
        <w:t xml:space="preserve">“</w:t>
      </w:r>
      <w:r>
        <w:t xml:space="preserve">What facts make it depend? Given my facts, which way does it lean?</w:t>
      </w:r>
      <w:r>
        <w:t xml:space="preserve">”</w:t>
      </w:r>
    </w:p>
    <w:bookmarkEnd w:id="37"/>
    <w:bookmarkStart w:id="38" w:name="when-the-attorney-says-we-could-argue"/>
    <w:p>
      <w:pPr>
        <w:pStyle w:val="Heading3"/>
      </w:pPr>
      <w:r>
        <w:t xml:space="preserve">When the Attorney Says</w:t>
      </w:r>
      <w:r>
        <w:t xml:space="preserve"> </w:t>
      </w:r>
      <w:r>
        <w:t xml:space="preserve">“</w:t>
      </w:r>
      <w:r>
        <w:t xml:space="preserve">We Could Argue…</w:t>
      </w:r>
      <w:r>
        <w:t xml:space="preserve">”</w:t>
      </w:r>
    </w:p>
    <w:p>
      <w:pPr>
        <w:pStyle w:val="FirstParagraph"/>
      </w:pPr>
      <w:r>
        <w:t xml:space="preserve">Push back:</w:t>
      </w:r>
      <w:r>
        <w:t xml:space="preserve"> </w:t>
      </w:r>
      <w:r>
        <w:t xml:space="preserve">“</w:t>
      </w:r>
      <w:r>
        <w:t xml:space="preserve">Argued by whom, in what setting, with what likelihood of success?</w:t>
      </w:r>
      <w:r>
        <w:t xml:space="preserve">”</w:t>
      </w:r>
    </w:p>
    <w:bookmarkEnd w:id="38"/>
    <w:bookmarkStart w:id="39" w:name="when-the-attorney-says-most-courts"/>
    <w:p>
      <w:pPr>
        <w:pStyle w:val="Heading3"/>
      </w:pPr>
      <w:r>
        <w:t xml:space="preserve">When the Attorney Says</w:t>
      </w:r>
      <w:r>
        <w:t xml:space="preserve"> </w:t>
      </w:r>
      <w:r>
        <w:t xml:space="preserve">“</w:t>
      </w:r>
      <w:r>
        <w:t xml:space="preserve">Most Courts…</w:t>
      </w:r>
      <w:r>
        <w:t xml:space="preserve">”</w:t>
      </w:r>
    </w:p>
    <w:p>
      <w:pPr>
        <w:pStyle w:val="FirstParagraph"/>
      </w:pPr>
      <w:r>
        <w:t xml:space="preserve">Push back:</w:t>
      </w:r>
      <w:r>
        <w:t xml:space="preserve"> </w:t>
      </w:r>
      <w:r>
        <w:t xml:space="preserve">“</w:t>
      </w:r>
      <w:r>
        <w:t xml:space="preserve">Most California courts? Recent California courts? Cite the case.</w:t>
      </w:r>
      <w:r>
        <w:t xml:space="preserve">”</w:t>
      </w:r>
    </w:p>
    <w:bookmarkEnd w:id="39"/>
    <w:bookmarkStart w:id="40" w:name="Xd45ca1da7124b7b1d62a729f75f1495f284ee79"/>
    <w:p>
      <w:pPr>
        <w:pStyle w:val="Heading3"/>
      </w:pPr>
      <w:r>
        <w:t xml:space="preserve">When the Attorney Says</w:t>
      </w:r>
      <w:r>
        <w:t xml:space="preserve"> </w:t>
      </w:r>
      <w:r>
        <w:t xml:space="preserve">“</w:t>
      </w:r>
      <w:r>
        <w:t xml:space="preserve">I’ve Seen This Before</w:t>
      </w:r>
      <w:r>
        <w:t xml:space="preserve">”</w:t>
      </w:r>
    </w:p>
    <w:p>
      <w:pPr>
        <w:pStyle w:val="FirstParagraph"/>
      </w:pPr>
      <w:r>
        <w:t xml:space="preserve">Capture the specific situation, the outcome, and what was learned.</w:t>
      </w:r>
    </w:p>
    <w:bookmarkEnd w:id="40"/>
    <w:bookmarkStart w:id="41" w:name="X7acdd2ad4e230726e5b3ac867116357a8419ef7"/>
    <w:p>
      <w:pPr>
        <w:pStyle w:val="Heading3"/>
      </w:pPr>
      <w:r>
        <w:t xml:space="preserve">When the Attorney Avoids a Direct Recommendation</w:t>
      </w:r>
    </w:p>
    <w:p>
      <w:pPr>
        <w:pStyle w:val="FirstParagraph"/>
      </w:pPr>
      <w:r>
        <w:t xml:space="preserve">Ask:</w:t>
      </w:r>
      <w:r>
        <w:t xml:space="preserve"> </w:t>
      </w:r>
      <w:r>
        <w:t xml:space="preserve">“</w:t>
      </w:r>
      <w:r>
        <w:t xml:space="preserve">I understand you can’t guarantee outcomes, but as my counsel, what would you do in my position?</w:t>
      </w:r>
      <w:r>
        <w:t xml:space="preserve">”</w:t>
      </w:r>
    </w:p>
    <w:bookmarkEnd w:id="41"/>
    <w:bookmarkStart w:id="42" w:name="when-you-dont-understand-a-term"/>
    <w:p>
      <w:pPr>
        <w:pStyle w:val="Heading3"/>
      </w:pPr>
      <w:r>
        <w:t xml:space="preserve">When You Don’t Understand a Term</w:t>
      </w:r>
    </w:p>
    <w:p>
      <w:pPr>
        <w:pStyle w:val="FirstParagraph"/>
      </w:pPr>
      <w:r>
        <w:t xml:space="preserve">Ask immediately. Don’t pretend.</w:t>
      </w:r>
      <w:r>
        <w:t xml:space="preserve"> </w:t>
      </w:r>
      <w:r>
        <w:t xml:space="preserve">“</w:t>
      </w:r>
      <w:r>
        <w:t xml:space="preserve">Can you explain what</w:t>
      </w:r>
      <w:r>
        <w:t xml:space="preserve"> </w:t>
      </w:r>
      <w:r>
        <w:rPr>
          <w:iCs/>
          <w:i/>
        </w:rPr>
        <w:t xml:space="preserve">Borello</w:t>
      </w:r>
      <w:r>
        <w:t xml:space="preserve"> </w:t>
      </w:r>
      <w:r>
        <w:t xml:space="preserve">means here, in plain English?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part-4-post-meeting-workflow"/>
    <w:p>
      <w:pPr>
        <w:pStyle w:val="Heading2"/>
      </w:pPr>
      <w:r>
        <w:t xml:space="preserve">Part 4 — Post-Meeting Workflow</w:t>
      </w:r>
    </w:p>
    <w:bookmarkStart w:id="44" w:name="within-24-hours"/>
    <w:p>
      <w:pPr>
        <w:pStyle w:val="Heading3"/>
      </w:pPr>
      <w:r>
        <w:t xml:space="preserve">Within 24 Hours</w:t>
      </w:r>
    </w:p>
    <w:p>
      <w:pPr>
        <w:numPr>
          <w:ilvl w:val="0"/>
          <w:numId w:val="1021"/>
        </w:numPr>
        <w:pStyle w:val="Compact"/>
      </w:pPr>
      <w:r>
        <w:t xml:space="preserve">Type up your handwritten notes into the</w:t>
      </w:r>
      <w:r>
        <w:t xml:space="preserve"> </w:t>
      </w:r>
      <w:r>
        <w:rPr>
          <w:bCs/>
          <w:b/>
        </w:rPr>
        <w:t xml:space="preserve">Decisions Made</w:t>
      </w:r>
      <w:r>
        <w:t xml:space="preserve"> </w:t>
      </w:r>
      <w:r>
        <w:t xml:space="preserve">template in Section 6 above.</w:t>
      </w:r>
    </w:p>
    <w:p>
      <w:pPr>
        <w:numPr>
          <w:ilvl w:val="0"/>
          <w:numId w:val="1021"/>
        </w:numPr>
        <w:pStyle w:val="Compact"/>
      </w:pPr>
      <w:r>
        <w:t xml:space="preserve">Email the attorney a summary memo with your understanding of the discussion and the decisions made. Ask for corrections.</w:t>
      </w:r>
    </w:p>
    <w:p>
      <w:pPr>
        <w:numPr>
          <w:ilvl w:val="0"/>
          <w:numId w:val="1021"/>
        </w:numPr>
        <w:pStyle w:val="Compact"/>
      </w:pPr>
      <w:r>
        <w:t xml:space="preserve">Update Doc 14 Launch Readiness Memo with the attorney’s input.</w:t>
      </w:r>
    </w:p>
    <w:bookmarkEnd w:id="44"/>
    <w:bookmarkStart w:id="45" w:name="within-1-week"/>
    <w:p>
      <w:pPr>
        <w:pStyle w:val="Heading3"/>
      </w:pPr>
      <w:r>
        <w:t xml:space="preserve">Within 1 Week</w:t>
      </w:r>
    </w:p>
    <w:p>
      <w:pPr>
        <w:numPr>
          <w:ilvl w:val="0"/>
          <w:numId w:val="1022"/>
        </w:numPr>
        <w:pStyle w:val="Compact"/>
      </w:pPr>
      <w:r>
        <w:t xml:space="preserve">Draft revised version of Doc 06 with the agreed edits.</w:t>
      </w:r>
    </w:p>
    <w:p>
      <w:pPr>
        <w:numPr>
          <w:ilvl w:val="0"/>
          <w:numId w:val="1022"/>
        </w:numPr>
        <w:pStyle w:val="Compact"/>
      </w:pPr>
      <w:r>
        <w:t xml:space="preserve">Send revised doc to the attorney for a quick review (this should be a smaller engagement, ~30 min or flat fee).</w:t>
      </w:r>
    </w:p>
    <w:p>
      <w:pPr>
        <w:numPr>
          <w:ilvl w:val="0"/>
          <w:numId w:val="1022"/>
        </w:numPr>
        <w:pStyle w:val="Compact"/>
      </w:pPr>
      <w:r>
        <w:t xml:space="preserve">Update Doc 12 Operational Launch Checklist with any new tasks (e.g., specific operational changes).</w:t>
      </w:r>
    </w:p>
    <w:bookmarkEnd w:id="45"/>
    <w:bookmarkStart w:id="46" w:name="within-30-days"/>
    <w:p>
      <w:pPr>
        <w:pStyle w:val="Heading3"/>
      </w:pPr>
      <w:r>
        <w:t xml:space="preserve">Within 30 Days</w:t>
      </w:r>
    </w:p>
    <w:p>
      <w:pPr>
        <w:numPr>
          <w:ilvl w:val="0"/>
          <w:numId w:val="1023"/>
        </w:numPr>
        <w:pStyle w:val="Compact"/>
      </w:pPr>
      <w:r>
        <w:t xml:space="preserve">Begin operational changes (anti-control messaging in marketing, etc.).</w:t>
      </w:r>
    </w:p>
    <w:p>
      <w:pPr>
        <w:numPr>
          <w:ilvl w:val="0"/>
          <w:numId w:val="1023"/>
        </w:numPr>
        <w:pStyle w:val="Compact"/>
      </w:pPr>
      <w:r>
        <w:t xml:space="preserve">Verify Doc 06 final version is what Pros are signing.</w:t>
      </w:r>
    </w:p>
    <w:p>
      <w:pPr>
        <w:numPr>
          <w:ilvl w:val="0"/>
          <w:numId w:val="1023"/>
        </w:numPr>
        <w:pStyle w:val="Compact"/>
      </w:pPr>
      <w:r>
        <w:t xml:space="preserve">If Option B (CA W-2, TX/FL IC) was chosen: begin the workflow for hiring W-2 cleaners in California (this is a 3-6 month parallel track).</w:t>
      </w:r>
    </w:p>
    <w:bookmarkEnd w:id="46"/>
    <w:bookmarkStart w:id="47" w:name="quarterly"/>
    <w:p>
      <w:pPr>
        <w:pStyle w:val="Heading3"/>
      </w:pPr>
      <w:r>
        <w:t xml:space="preserve">Quarterly</w:t>
      </w:r>
    </w:p>
    <w:p>
      <w:pPr>
        <w:numPr>
          <w:ilvl w:val="0"/>
          <w:numId w:val="1024"/>
        </w:numPr>
        <w:pStyle w:val="Compact"/>
      </w:pPr>
      <w:r>
        <w:t xml:space="preserve">Re-engage attorney for 1-hour status check ($500–$1,500). Cover: new CA caselaw, operational drift, any new product features, expansion plans.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d9e2188b2d20151f227a601f24565bd3715d550"/>
    <w:p>
      <w:pPr>
        <w:pStyle w:val="Heading2"/>
      </w:pPr>
      <w:r>
        <w:t xml:space="preserve">Part 5 — Pre-Read Template: One-Page Business Overview</w:t>
      </w:r>
    </w:p>
    <w:p>
      <w:pPr>
        <w:pStyle w:val="FirstParagraph"/>
      </w:pPr>
      <w:r>
        <w:t xml:space="preserve">Send this to the attorney as part of the pre-read package. Customize before sending.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PureTask LLC — Business Overview (Pre-Meeting Read)</w:t>
      </w:r>
    </w:p>
    <w:p>
      <w:pPr>
        <w:pStyle w:val="BlockText"/>
      </w:pPr>
      <w:r>
        <w:rPr>
          <w:bCs/>
          <w:b/>
        </w:rPr>
        <w:t xml:space="preserve">What PureTask Is</w:t>
      </w:r>
      <w:r>
        <w:t xml:space="preserve"> </w:t>
      </w:r>
      <w:r>
        <w:t xml:space="preserve">PureTask is a two-sided marketplace platform connecting individual Clients (and small businesses) with independent cleaning professionals (Pros). The Platform handles discovery, booking, scheduling, in-app messaging, payment processing via Stripe Connect Express, and dispute mediation. PureTask does not provide cleaning services itself; the service contract for each Booking is directly between the Client and the Pro.</w:t>
      </w:r>
    </w:p>
    <w:p>
      <w:pPr>
        <w:pStyle w:val="BlockText"/>
      </w:pPr>
      <w:r>
        <w:rPr>
          <w:bCs/>
          <w:b/>
        </w:rPr>
        <w:t xml:space="preserve">Operating Markets</w:t>
      </w:r>
      <w:r>
        <w:t xml:space="preserve"> </w:t>
      </w:r>
      <w:r>
        <w:t xml:space="preserve">California, Texas, and Florida.</w:t>
      </w:r>
    </w:p>
    <w:p>
      <w:pPr>
        <w:pStyle w:val="BlockText"/>
      </w:pPr>
      <w:r>
        <w:rPr>
          <w:bCs/>
          <w:b/>
        </w:rPr>
        <w:t xml:space="preserve">Stage</w:t>
      </w:r>
      <w:r>
        <w:t xml:space="preserve"> </w:t>
      </w:r>
      <w:r>
        <w:t xml:space="preserve">Pre-launch. Single-member LLC formed (or in process). Platform under development. Target soft launch: [DATE]. No active Bookings yet.</w:t>
      </w:r>
    </w:p>
    <w:p>
      <w:pPr>
        <w:pStyle w:val="BlockText"/>
      </w:pPr>
      <w:r>
        <w:rPr>
          <w:bCs/>
          <w:b/>
        </w:rPr>
        <w:t xml:space="preserve">Pro Model</w:t>
      </w:r>
      <w:r>
        <w:t xml:space="preserve"> </w:t>
      </w:r>
      <w:r>
        <w:t xml:space="preserve">Pros are independent contractors operating their own cleaning businesses. They are required to hold at least one of: a valid business license, a valid EIN, or a Certificate of Commercial General Liability insurance ($300k per occurrence / $1M aggregate, with PureTask LLC named as additional insured). Pros set their own rates (subject to a maximum-rate ceiling), schedules, methods, and service areas. They may freely work for competitors. They are not required to maintain any minimum availability or job-acceptance rate.</w:t>
      </w:r>
    </w:p>
    <w:p>
      <w:pPr>
        <w:pStyle w:val="BlockText"/>
      </w:pPr>
      <w:r>
        <w:rPr>
          <w:bCs/>
          <w:b/>
        </w:rPr>
        <w:t xml:space="preserve">Compensation</w:t>
      </w:r>
      <w:r>
        <w:t xml:space="preserve"> </w:t>
      </w:r>
      <w:r>
        <w:t xml:space="preserve">PureTask charges:</w:t>
      </w:r>
      <w:r>
        <w:t xml:space="preserve"> </w:t>
      </w:r>
      <w:r>
        <w:t xml:space="preserve">- A Booking Facilitation Fee to Clients (technology, matching, trust-and-safety).</w:t>
      </w:r>
      <w:r>
        <w:t xml:space="preserve"> </w:t>
      </w:r>
      <w:r>
        <w:t xml:space="preserve">- A flat per-Booking Platform Fee deducted from the Pro’s payout (not a percentage commission).</w:t>
      </w:r>
      <w:r>
        <w:t xml:space="preserve"> </w:t>
      </w:r>
      <w:r>
        <w:t xml:space="preserve">Tips go 100% to Pros. PureTask retains no portion of tips.</w:t>
      </w:r>
    </w:p>
    <w:p>
      <w:pPr>
        <w:pStyle w:val="BlockText"/>
      </w:pPr>
      <w:r>
        <w:rPr>
          <w:bCs/>
          <w:b/>
        </w:rPr>
        <w:t xml:space="preserve">Payment Flow</w:t>
      </w:r>
      <w:r>
        <w:t xml:space="preserve"> </w:t>
      </w:r>
      <w:r>
        <w:t xml:space="preserve">Stripe Connect Express. Funds are held within Stripe’s infrastructure (not in any PureTask account) during a 24-hour Review Window after job completion. PureTask acts as a limited</w:t>
      </w:r>
      <w:r>
        <w:t xml:space="preserve"> </w:t>
      </w:r>
      <w:r>
        <w:t xml:space="preserve">“</w:t>
      </w:r>
      <w:r>
        <w:t xml:space="preserve">agent of the payee</w:t>
      </w:r>
      <w:r>
        <w:t xml:space="preserve">”</w:t>
      </w:r>
      <w:r>
        <w:t xml:space="preserve"> </w:t>
      </w:r>
      <w:r>
        <w:t xml:space="preserve">for the Pro under Cal. Fin. Code § 2010(l). Designed to qualify for the money-transmitter exemption.</w:t>
      </w:r>
    </w:p>
    <w:p>
      <w:pPr>
        <w:pStyle w:val="BlockText"/>
      </w:pPr>
      <w:r>
        <w:rPr>
          <w:bCs/>
          <w:b/>
        </w:rPr>
        <w:t xml:space="preserve">Trust &amp; Safety</w:t>
      </w:r>
      <w:r>
        <w:t xml:space="preserve"> </w:t>
      </w:r>
      <w:r>
        <w:t xml:space="preserve">Identity verification + background checks (Checkr, FCRA-compliant) + ongoing rechecks. Voluntary GPS check-in, before/after photos, in-app time tracking. Voluntary Reliability Indicator on Pro profiles (neutral signals, never affects payouts or eligibility).</w:t>
      </w:r>
    </w:p>
    <w:p>
      <w:pPr>
        <w:pStyle w:val="BlockText"/>
      </w:pPr>
      <w:r>
        <w:rPr>
          <w:bCs/>
          <w:b/>
        </w:rPr>
        <w:t xml:space="preserve">Key Documents Provided</w:t>
      </w:r>
      <w:r>
        <w:t xml:space="preserve"> </w:t>
      </w:r>
      <w:r>
        <w:t xml:space="preserve">1. Pro Independent Contractor Agreement (the main artifact for review)</w:t>
      </w:r>
      <w:r>
        <w:t xml:space="preserve"> </w:t>
      </w:r>
      <w:r>
        <w:t xml:space="preserve">2. Terms of Service (Sections 4 and 16 most relevant)</w:t>
      </w:r>
      <w:r>
        <w:t xml:space="preserve"> </w:t>
      </w:r>
      <w:r>
        <w:t xml:space="preserve">3. Launch Readiness Memo (overall posture self-assessment)</w:t>
      </w:r>
      <w:r>
        <w:t xml:space="preserve"> </w:t>
      </w:r>
      <w:r>
        <w:t xml:space="preserve">4. Operational Launch Checklist (timeline context)</w:t>
      </w:r>
    </w:p>
    <w:p>
      <w:pPr>
        <w:pStyle w:val="BlockText"/>
      </w:pPr>
      <w:r>
        <w:rPr>
          <w:bCs/>
          <w:b/>
        </w:rPr>
        <w:t xml:space="preserve">Top Concerns for This Meeting</w:t>
      </w:r>
      <w:r>
        <w:t xml:space="preserve"> </w:t>
      </w:r>
      <w:r>
        <w:t xml:space="preserve">1. ABC Test Prong B — is the characterization of PureTask’s</w:t>
      </w:r>
      <w:r>
        <w:t xml:space="preserve"> </w:t>
      </w:r>
      <w:r>
        <w:t xml:space="preserve">“</w:t>
      </w:r>
      <w:r>
        <w:t xml:space="preserve">usual course of business</w:t>
      </w:r>
      <w:r>
        <w:t xml:space="preserve">”</w:t>
      </w:r>
      <w:r>
        <w:t xml:space="preserve"> </w:t>
      </w:r>
      <w:r>
        <w:t xml:space="preserve">as marketplace technology (not cleaning) defensible?</w:t>
      </w:r>
      <w:r>
        <w:t xml:space="preserve"> </w:t>
      </w:r>
      <w:r>
        <w:t xml:space="preserve">2. Are the Pro freedoms in Doc 06 sufficient for Prong A?</w:t>
      </w:r>
      <w:r>
        <w:t xml:space="preserve"> </w:t>
      </w:r>
      <w:r>
        <w:t xml:space="preserve">3. Are there operational practices I should change before launch?</w:t>
      </w:r>
      <w:r>
        <w:t xml:space="preserve"> </w:t>
      </w:r>
      <w:r>
        <w:t xml:space="preserve">4. Should I delay California launch in favor of TX/FL first?</w:t>
      </w:r>
      <w:r>
        <w:t xml:space="preserve"> </w:t>
      </w:r>
      <w:r>
        <w:t xml:space="preserve">5. What’s the realistic probability of class-action exposure in CA in the first 3 years?</w:t>
      </w:r>
    </w:p>
    <w:p>
      <w:pPr>
        <w:pStyle w:val="BlockText"/>
      </w:pPr>
      <w:r>
        <w:rPr>
          <w:bCs/>
          <w:b/>
        </w:rPr>
        <w:t xml:space="preserve">Founder Background</w:t>
      </w:r>
      <w:r>
        <w:t xml:space="preserve"> </w:t>
      </w:r>
      <w:r>
        <w:t xml:space="preserve">Nathan Chiaratti, sole member. Based in Elk Grove (Sacramento County), California. First-time operator of a service marketplace. Background in [briefly: tech, product, etc.]. No employees yet.</w:t>
      </w:r>
    </w:p>
    <w:p>
      <w:r>
        <w:pict>
          <v:rect style="width:0;height:1.5pt" o:hralign="center" o:hrstd="t" o:hr="t"/>
        </w:pict>
      </w:r>
    </w:p>
    <w:bookmarkEnd w:id="49"/>
    <w:bookmarkStart w:id="50" w:name="X090380845c559dd10d37027036a1cfe359784d8"/>
    <w:p>
      <w:pPr>
        <w:pStyle w:val="Heading2"/>
      </w:pPr>
      <w:r>
        <w:t xml:space="preserve">Part 6 — If You Walk Away with Only One Thing…</w:t>
      </w:r>
    </w:p>
    <w:p>
      <w:pPr>
        <w:pStyle w:val="FirstParagraph"/>
      </w:pPr>
      <w:r>
        <w:t xml:space="preserve">The single most important question to get a clear answer to is: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Given the Pro IC Agreement in Doc 06 and the operational practices I have described, what is your honest professional estimate of the probability that PureTask survives an ABC test challenge on Prong B in California?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If the attorney says</w:t>
      </w:r>
      <w:r>
        <w:t xml:space="preserve"> </w:t>
      </w:r>
      <w:r>
        <w:rPr>
          <w:bCs/>
          <w:b/>
        </w:rPr>
        <w:t xml:space="preserve">&gt;70%</w:t>
      </w:r>
      <w:r>
        <w:t xml:space="preserve">: Launch with current structure, with the recommended operational changes. Accept the residual risk.</w:t>
      </w:r>
    </w:p>
    <w:p>
      <w:pPr>
        <w:pStyle w:val="BodyText"/>
      </w:pPr>
      <w:r>
        <w:t xml:space="preserve">If the attorney says</w:t>
      </w:r>
      <w:r>
        <w:t xml:space="preserve"> </w:t>
      </w:r>
      <w:r>
        <w:rPr>
          <w:bCs/>
          <w:b/>
        </w:rPr>
        <w:t xml:space="preserve">40-70%</w:t>
      </w:r>
      <w:r>
        <w:t xml:space="preserve">: Make all recommended changes, then re-assess. Consider delaying CA launch by 6 months while you build TX/FL revenue.</w:t>
      </w:r>
    </w:p>
    <w:p>
      <w:pPr>
        <w:pStyle w:val="BodyText"/>
      </w:pPr>
      <w:r>
        <w:t xml:space="preserve">If the attorney says</w:t>
      </w:r>
      <w:r>
        <w:t xml:space="preserve"> </w:t>
      </w:r>
      <w:r>
        <w:rPr>
          <w:bCs/>
          <w:b/>
        </w:rPr>
        <w:t xml:space="preserve">&lt;40%</w:t>
      </w:r>
      <w:r>
        <w:t xml:space="preserve">: Seriously consider Option B (W-2 in CA) or Option C (skip CA initially). The legal risk likely outweighs the CA revenue opportunity at pre-launch stage.</w:t>
      </w:r>
    </w:p>
    <w:p>
      <w:r>
        <w:pict>
          <v:rect style="width:0;height:1.5pt" o:hralign="center" o:hrstd="t" o:hr="t"/>
        </w:pict>
      </w:r>
    </w:p>
    <w:bookmarkEnd w:id="50"/>
    <w:bookmarkStart w:id="51" w:name="part-7-cost-expectations"/>
    <w:p>
      <w:pPr>
        <w:pStyle w:val="Heading2"/>
      </w:pPr>
      <w:r>
        <w:t xml:space="preserve">Part 7 — Cost Expectations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letter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(no charge typical)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Pre-read review (attorney’s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2-hour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2-hour 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$1,500–$3,000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Post-meeting follow-up (email Q&amp;A)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$0-$500 (often free in first follow-up)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Revised Doc 06 review (~30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$375–$750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status checks (1 hour each, year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$3,000–$6,000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Year 1 attorney spend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$5,000-$10,000</w:t>
            </w:r>
          </w:p>
        </w:tc>
      </w:tr>
    </w:tbl>
    <w:p>
      <w:pPr>
        <w:pStyle w:val="BodyText"/>
      </w:pPr>
      <w:r>
        <w:t xml:space="preserve">If your attorney is significantly outside these ranges, ask why. Some attorneys charge premium rates; some are early-career; both can be appropriate depending on your needs and risk tolerance.</w:t>
      </w:r>
    </w:p>
    <w:p>
      <w:r>
        <w:pict>
          <v:rect style="width:0;height:1.5pt" o:hralign="center" o:hrstd="t" o:hr="t"/>
        </w:pict>
      </w:r>
    </w:p>
    <w:bookmarkEnd w:id="51"/>
    <w:bookmarkStart w:id="52" w:name="part-8-finding-the-right-attorney"/>
    <w:p>
      <w:pPr>
        <w:pStyle w:val="Heading2"/>
      </w:pPr>
      <w:r>
        <w:t xml:space="preserve">Part 8 — Finding the Right Attorney</w:t>
      </w:r>
    </w:p>
    <w:p>
      <w:pPr>
        <w:pStyle w:val="FirstParagraph"/>
      </w:pPr>
      <w:r>
        <w:t xml:space="preserve">If you have not yet selected an attorney, look for: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California-licensed employment / gig-economy attorney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plaintiff-side experience</w:t>
      </w:r>
      <w:r>
        <w:t xml:space="preserve"> </w:t>
      </w:r>
      <w:r>
        <w:t xml:space="preserve">(someone who has sued companies like yours; they know the playbook better than purely defense-side attorneys).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Experience with marketplace / platform clients</w:t>
      </w:r>
      <w:r>
        <w:t xml:space="preserve"> </w:t>
      </w:r>
      <w:r>
        <w:t xml:space="preserve">(Uber-Lyft-Instacart-DoorDash counsel, even if not those exact companies).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Familiarity with AB 5,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Dynamex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Adolph v. Uber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No conflicts</w:t>
      </w:r>
      <w:r>
        <w:t xml:space="preserve"> </w:t>
      </w:r>
      <w:r>
        <w:t xml:space="preserve">with Stripe, Checkr, or your existing/potential investors.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Reasonable rates</w:t>
      </w:r>
      <w:r>
        <w:t xml:space="preserve"> </w:t>
      </w:r>
      <w:r>
        <w:t xml:space="preserve">for your stage (~$500-1,500/hour).</w:t>
      </w:r>
    </w:p>
    <w:p>
      <w:pPr>
        <w:pStyle w:val="FirstParagraph"/>
      </w:pPr>
      <w:r>
        <w:rPr>
          <w:bCs/>
          <w:b/>
        </w:rPr>
        <w:t xml:space="preserve">Where to find:</w:t>
      </w:r>
      <w:r>
        <w:t xml:space="preserve"> </w:t>
      </w:r>
      <w:r>
        <w:t xml:space="preserve">- Referrals from other marketplace founders</w:t>
      </w:r>
      <w:r>
        <w:t xml:space="preserve"> </w:t>
      </w:r>
      <w:r>
        <w:t xml:space="preserve">- California Lawyers Association employment law section directory</w:t>
      </w:r>
      <w:r>
        <w:t xml:space="preserve"> </w:t>
      </w:r>
      <w:r>
        <w:t xml:space="preserve">- Avvo and Martindale-Hubbell ratings (for vetting)</w:t>
      </w:r>
      <w:r>
        <w:t xml:space="preserve"> </w:t>
      </w:r>
      <w:r>
        <w:t xml:space="preserve">- LinkedIn searches for</w:t>
      </w:r>
      <w:r>
        <w:t xml:space="preserve"> </w:t>
      </w:r>
      <w:r>
        <w:t xml:space="preserve">“</w:t>
      </w:r>
      <w:r>
        <w:t xml:space="preserve">AB 5 attorney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California gig economy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Red flags:</w:t>
      </w:r>
      <w:r>
        <w:t xml:space="preserve"> </w:t>
      </w:r>
      <w:r>
        <w:t xml:space="preserve">- Refuses to share recent caselaw familiarity</w:t>
      </w:r>
      <w:r>
        <w:t xml:space="preserve"> </w:t>
      </w:r>
      <w:r>
        <w:t xml:space="preserve">- No marketplace clients in their portfolio</w:t>
      </w:r>
      <w:r>
        <w:t xml:space="preserve"> </w:t>
      </w:r>
      <w:r>
        <w:t xml:space="preserve">- Says they can</w:t>
      </w:r>
      <w:r>
        <w:t xml:space="preserve"> </w:t>
      </w:r>
      <w:r>
        <w:t xml:space="preserve">“</w:t>
      </w:r>
      <w:r>
        <w:t xml:space="preserve">guarantee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guarantee win</w:t>
      </w:r>
      <w:r>
        <w:t xml:space="preserve">”</w:t>
      </w:r>
      <w:r>
        <w:t xml:space="preserve"> </w:t>
      </w:r>
      <w:r>
        <w:t xml:space="preserve">on ABC test (no one can)</w:t>
      </w:r>
      <w:r>
        <w:t xml:space="preserve"> </w:t>
      </w:r>
      <w:r>
        <w:t xml:space="preserve">- No engagement letter, no clear fee structure</w:t>
      </w:r>
      <w:r>
        <w:t xml:space="preserve"> </w:t>
      </w:r>
      <w:r>
        <w:t xml:space="preserve">- Promises to</w:t>
      </w:r>
      <w:r>
        <w:t xml:space="preserve"> </w:t>
      </w:r>
      <w:r>
        <w:t xml:space="preserve">“</w:t>
      </w:r>
      <w:r>
        <w:t xml:space="preserve">handle everything</w:t>
      </w:r>
      <w:r>
        <w:t xml:space="preserve">”</w:t>
      </w:r>
      <w:r>
        <w:t xml:space="preserve"> </w:t>
      </w:r>
      <w:r>
        <w:t xml:space="preserve">without disclosure of scope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a meeting plan, not legal advice. It is intended to help you maximize value from a 2-hour attorney consultation, not to replace one. The questions and frameworks suggested are starting points; the attorney’s specific advice for your specific facts is what matters.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2026-05-17T15:51:20Z</dcterms:created>
  <dcterms:modified xsi:type="dcterms:W3CDTF">2026-05-17T15:51:20Z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