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6" w:name="puretask-privacy-policy"/>
    <w:p>
      <w:pPr>
        <w:pStyle w:val="Heading1"/>
      </w:pPr>
      <w:r>
        <w:t xml:space="preserve">PureTask — Privacy Policy</w:t>
      </w:r>
    </w:p>
    <w:p>
      <w:pPr>
        <w:pStyle w:val="FirstParagraph"/>
      </w:pPr>
      <w:r>
        <w:rPr>
          <w:bCs/>
          <w:b/>
        </w:rPr>
        <w:t xml:space="preserve">Effective Date:</w:t>
      </w:r>
      <w:r>
        <w:t xml:space="preserve"> </w:t>
      </w:r>
      <w:r>
        <w:t xml:space="preserve">[TO BE SET BEFORE LAUNCH]</w:t>
      </w:r>
      <w:r>
        <w:t xml:space="preserve"> </w:t>
      </w:r>
      <w:r>
        <w:rPr>
          <w:bCs/>
          <w:b/>
        </w:rPr>
        <w:t xml:space="preserve">Last Updated:</w:t>
      </w:r>
      <w:r>
        <w:t xml:space="preserve"> </w:t>
      </w:r>
      <w:r>
        <w:t xml:space="preserve">[TO BE SET BEFORE LAUNCH]</w:t>
      </w:r>
      <w:r>
        <w:t xml:space="preserve"> </w:t>
      </w:r>
      <w:r>
        <w:rPr>
          <w:bCs/>
          <w:b/>
        </w:rPr>
        <w:t xml:space="preserve">Version:</w:t>
      </w:r>
      <w:r>
        <w:t xml:space="preserve"> </w:t>
      </w:r>
      <w:r>
        <w:t xml:space="preserve">2.0</w:t>
      </w:r>
    </w:p>
    <w:p>
      <w:pPr>
        <w:pStyle w:val="BodyText"/>
      </w:pPr>
      <w:r>
        <w:t xml:space="preserve">This Privacy Policy explains how</w:t>
      </w:r>
      <w:r>
        <w:t xml:space="preserve"> </w:t>
      </w:r>
      <w:r>
        <w:rPr>
          <w:bCs/>
          <w:b/>
        </w:rPr>
        <w:t xml:space="preserve">PureTask LLC</w:t>
      </w:r>
      <w:r>
        <w:t xml:space="preserve">, a California limited liability company (</w:t>
      </w:r>
      <w:r>
        <w:t xml:space="preserve">“</w:t>
      </w:r>
      <w:r>
        <w:rPr>
          <w:bCs/>
          <w:b/>
        </w:rPr>
        <w:t xml:space="preserve">PureTask</w:t>
      </w:r>
      <w:r>
        <w:t xml:space="preserve">,</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collects, uses, discloses, retains, and protects personal information when you use our website, mobile applications, and related services (the</w:t>
      </w:r>
      <w:r>
        <w:t xml:space="preserve"> </w:t>
      </w:r>
      <w:r>
        <w:t xml:space="preserve">“</w:t>
      </w:r>
      <w:r>
        <w:rPr>
          <w:bCs/>
          <w:b/>
        </w:rPr>
        <w:t xml:space="preserve">Platform</w:t>
      </w:r>
      <w:r>
        <w:t xml:space="preserve">”</w:t>
      </w:r>
      <w:r>
        <w:t xml:space="preserve">). It also describes your privacy rights under the</w:t>
      </w:r>
      <w:r>
        <w:t xml:space="preserve"> </w:t>
      </w:r>
      <w:r>
        <w:rPr>
          <w:bCs/>
          <w:b/>
        </w:rPr>
        <w:t xml:space="preserve">California Consumer Privacy Act / California Privacy Rights Act (</w:t>
      </w:r>
      <w:r>
        <w:rPr>
          <w:bCs/>
          <w:b/>
        </w:rPr>
        <w:t xml:space="preserve">“</w:t>
      </w:r>
      <w:r>
        <w:rPr>
          <w:bCs/>
          <w:b/>
        </w:rPr>
        <w:t xml:space="preserve">CCPA/CPRA</w:t>
      </w:r>
      <w:r>
        <w:rPr>
          <w:bCs/>
          <w:b/>
        </w:rPr>
        <w:t xml:space="preserve">”</w:t>
      </w:r>
      <w:r>
        <w:rPr>
          <w:bCs/>
          <w:b/>
        </w:rPr>
        <w:t xml:space="preserve">)</w:t>
      </w:r>
      <w:r>
        <w:t xml:space="preserve">, the</w:t>
      </w:r>
      <w:r>
        <w:t xml:space="preserve"> </w:t>
      </w:r>
      <w:r>
        <w:rPr>
          <w:bCs/>
          <w:b/>
        </w:rPr>
        <w:t xml:space="preserve">Texas Data Privacy and Security Act (</w:t>
      </w:r>
      <w:r>
        <w:rPr>
          <w:bCs/>
          <w:b/>
        </w:rPr>
        <w:t xml:space="preserve">“</w:t>
      </w:r>
      <w:r>
        <w:rPr>
          <w:bCs/>
          <w:b/>
        </w:rPr>
        <w:t xml:space="preserve">TDPSA</w:t>
      </w:r>
      <w:r>
        <w:rPr>
          <w:bCs/>
          <w:b/>
        </w:rPr>
        <w:t xml:space="preserve">”</w:t>
      </w:r>
      <w:r>
        <w:rPr>
          <w:bCs/>
          <w:b/>
        </w:rPr>
        <w:t xml:space="preserve">)</w:t>
      </w:r>
      <w:r>
        <w:t xml:space="preserve">, the</w:t>
      </w:r>
      <w:r>
        <w:t xml:space="preserve"> </w:t>
      </w:r>
      <w:r>
        <w:rPr>
          <w:bCs/>
          <w:b/>
        </w:rPr>
        <w:t xml:space="preserve">Florida Digital Bill of Rights (</w:t>
      </w:r>
      <w:r>
        <w:rPr>
          <w:bCs/>
          <w:b/>
        </w:rPr>
        <w:t xml:space="preserve">“</w:t>
      </w:r>
      <w:r>
        <w:rPr>
          <w:bCs/>
          <w:b/>
        </w:rPr>
        <w:t xml:space="preserve">FDBR</w:t>
      </w:r>
      <w:r>
        <w:rPr>
          <w:bCs/>
          <w:b/>
        </w:rPr>
        <w:t xml:space="preserve">”</w:t>
      </w:r>
      <w:r>
        <w:rPr>
          <w:bCs/>
          <w:b/>
        </w:rPr>
        <w:t xml:space="preserve">)</w:t>
      </w:r>
      <w:r>
        <w:t xml:space="preserve">, and other applicable laws.</w:t>
      </w:r>
    </w:p>
    <w:p>
      <w:pPr>
        <w:pStyle w:val="BodyText"/>
      </w:pPr>
      <w:r>
        <w:t xml:space="preserve">By using the Platform, you agree to this Policy. If you do not agree, do not use the Platform.</w:t>
      </w:r>
    </w:p>
    <w:p>
      <w:r>
        <w:pict>
          <v:rect style="width:0;height:1.5pt" o:hralign="center" o:hrstd="t" o:hr="t"/>
        </w:pict>
      </w:r>
    </w:p>
    <w:bookmarkStart w:id="20" w:name="who-we-are-contact"/>
    <w:p>
      <w:pPr>
        <w:pStyle w:val="Heading2"/>
      </w:pPr>
      <w:r>
        <w:t xml:space="preserve">1. Who We Are; Contact</w:t>
      </w:r>
    </w:p>
    <w:p>
      <w:pPr>
        <w:pStyle w:val="FirstParagraph"/>
      </w:pPr>
      <w:r>
        <w:t xml:space="preserve">The</w:t>
      </w:r>
      <w:r>
        <w:t xml:space="preserve"> </w:t>
      </w:r>
      <w:r>
        <w:t xml:space="preserve">“</w:t>
      </w:r>
      <w:r>
        <w:t xml:space="preserve">data controller</w:t>
      </w:r>
      <w:r>
        <w:t xml:space="preserve">”</w:t>
      </w:r>
      <w:r>
        <w:t xml:space="preserve"> </w:t>
      </w:r>
      <w:r>
        <w:t xml:space="preserve">or</w:t>
      </w:r>
      <w:r>
        <w:t xml:space="preserve"> </w:t>
      </w:r>
      <w:r>
        <w:t xml:space="preserve">“</w:t>
      </w:r>
      <w:r>
        <w:t xml:space="preserve">business</w:t>
      </w:r>
      <w:r>
        <w:t xml:space="preserve">”</w:t>
      </w:r>
      <w:r>
        <w:t xml:space="preserve"> </w:t>
      </w:r>
      <w:r>
        <w:t xml:space="preserve">responsible for your personal information is:</w:t>
      </w:r>
    </w:p>
    <w:p>
      <w:pPr>
        <w:pStyle w:val="BodyText"/>
      </w:pPr>
      <w:r>
        <w:rPr>
          <w:bCs/>
          <w:b/>
        </w:rPr>
        <w:t xml:space="preserve">PureTask LLC</w:t>
      </w:r>
      <w:r>
        <w:t xml:space="preserve"> </w:t>
      </w:r>
      <w:r>
        <w:t xml:space="preserve">Sacramento, California, USA</w:t>
      </w:r>
      <w:r>
        <w:t xml:space="preserve"> </w:t>
      </w:r>
      <w:r>
        <w:t xml:space="preserve">Email:</w:t>
      </w:r>
      <w:r>
        <w:t xml:space="preserve"> </w:t>
      </w:r>
      <w:r>
        <w:rPr>
          <w:bCs/>
          <w:b/>
        </w:rPr>
        <w:t xml:space="preserve">otherpuretask@gmail.com</w:t>
      </w:r>
    </w:p>
    <w:p>
      <w:pPr>
        <w:pStyle w:val="BodyText"/>
      </w:pPr>
      <w:r>
        <w:t xml:space="preserve">For privacy requests, use the subject line</w:t>
      </w:r>
      <w:r>
        <w:t xml:space="preserve"> </w:t>
      </w:r>
      <w:r>
        <w:t xml:space="preserve">“</w:t>
      </w:r>
      <w:r>
        <w:rPr>
          <w:bCs/>
          <w:b/>
        </w:rPr>
        <w:t xml:space="preserve">Privacy Request</w:t>
      </w:r>
      <w:r>
        <w:t xml:space="preserve">.</w:t>
      </w:r>
      <w:r>
        <w:t xml:space="preserve">”</w:t>
      </w:r>
    </w:p>
    <w:p>
      <w:pPr>
        <w:pStyle w:val="BodyText"/>
      </w:pPr>
      <w:r>
        <w:t xml:space="preserve">A</w:t>
      </w:r>
      <w:r>
        <w:t xml:space="preserve"> </w:t>
      </w:r>
      <w:r>
        <w:t xml:space="preserve">“</w:t>
      </w:r>
      <w:r>
        <w:t xml:space="preserve">Do Not Sell or Share My Personal Information</w:t>
      </w:r>
      <w:r>
        <w:t xml:space="preserve">”</w:t>
      </w:r>
      <w:r>
        <w:t xml:space="preserve"> </w:t>
      </w:r>
      <w:r>
        <w:t xml:space="preserve">/</w:t>
      </w:r>
      <w:r>
        <w:t xml:space="preserve"> </w:t>
      </w:r>
      <w:r>
        <w:t xml:space="preserve">“</w:t>
      </w:r>
      <w:r>
        <w:t xml:space="preserve">Limit Use of My Sensitive Personal Information</w:t>
      </w:r>
      <w:r>
        <w:t xml:space="preserve">”</w:t>
      </w:r>
      <w:r>
        <w:t xml:space="preserve"> </w:t>
      </w:r>
      <w:r>
        <w:t xml:space="preserve">link is available in the footer of every page and in the mobile app settings menu (see Section 10).</w:t>
      </w:r>
    </w:p>
    <w:p>
      <w:r>
        <w:pict>
          <v:rect style="width:0;height:1.5pt" o:hralign="center" o:hrstd="t" o:hr="t"/>
        </w:pict>
      </w:r>
    </w:p>
    <w:bookmarkEnd w:id="20"/>
    <w:bookmarkStart w:id="21" w:name="notice-at-collection"/>
    <w:p>
      <w:pPr>
        <w:pStyle w:val="Heading2"/>
      </w:pPr>
      <w:r>
        <w:t xml:space="preserve">2. Notice at Collection</w:t>
      </w:r>
    </w:p>
    <w:p>
      <w:pPr>
        <w:pStyle w:val="FirstParagraph"/>
      </w:pPr>
      <w:r>
        <w:t xml:space="preserve">At or before the point of collection, we provide a short</w:t>
      </w:r>
      <w:r>
        <w:t xml:space="preserve"> </w:t>
      </w:r>
      <w:r>
        <w:t xml:space="preserve">“</w:t>
      </w:r>
      <w:r>
        <w:rPr>
          <w:bCs/>
          <w:b/>
        </w:rPr>
        <w:t xml:space="preserve">Notice at Collection</w:t>
      </w:r>
      <w:r>
        <w:t xml:space="preserve">”</w:t>
      </w:r>
      <w:r>
        <w:t xml:space="preserve"> </w:t>
      </w:r>
      <w:r>
        <w:t xml:space="preserve">disclosing the categories of personal information we collect, the purposes of collection, and whether information is sold or shared. This Privacy Policy serves as the long-form notice. The short-form Notice at Collection is provided at signup and in the mobile-app onboarding flow.</w:t>
      </w:r>
    </w:p>
    <w:p>
      <w:r>
        <w:pict>
          <v:rect style="width:0;height:1.5pt" o:hralign="center" o:hrstd="t" o:hr="t"/>
        </w:pict>
      </w:r>
    </w:p>
    <w:bookmarkEnd w:id="21"/>
    <w:bookmarkStart w:id="27" w:name="information-we-collect"/>
    <w:p>
      <w:pPr>
        <w:pStyle w:val="Heading2"/>
      </w:pPr>
      <w:r>
        <w:t xml:space="preserve">3. Information We Collect</w:t>
      </w:r>
    </w:p>
    <w:p>
      <w:pPr>
        <w:pStyle w:val="FirstParagraph"/>
      </w:pPr>
      <w:r>
        <w:t xml:space="preserve">We collect personal information in the following categories, mapped to the CCPA/CPRA categories under</w:t>
      </w:r>
      <w:r>
        <w:t xml:space="preserve"> </w:t>
      </w:r>
      <w:r>
        <w:rPr>
          <w:bCs/>
          <w:b/>
        </w:rPr>
        <w:t xml:space="preserve">Cal. Civ. Code § 1798.140(v)</w:t>
      </w:r>
      <w:r>
        <w:t xml:space="preserve">:</w:t>
      </w:r>
    </w:p>
    <w:bookmarkStart w:id="22" w:name="information-you-provide"/>
    <w:p>
      <w:pPr>
        <w:pStyle w:val="Heading3"/>
      </w:pPr>
      <w:r>
        <w:t xml:space="preserve">3.1 Information You Provide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CCPA Category</w:t>
            </w:r>
          </w:p>
        </w:tc>
        <w:tc>
          <w:tcPr/>
          <w:p>
            <w:pPr>
              <w:pStyle w:val="Compact"/>
              <w:jc w:val="left"/>
            </w:pPr>
            <w:r>
              <w:t xml:space="preserve">Examples</w:t>
            </w:r>
          </w:p>
        </w:tc>
      </w:tr>
      <w:tr>
        <w:tc>
          <w:tcPr/>
          <w:p>
            <w:pPr>
              <w:pStyle w:val="Compact"/>
              <w:jc w:val="left"/>
            </w:pPr>
            <w:r>
              <w:rPr>
                <w:bCs/>
                <w:b/>
              </w:rPr>
              <w:t xml:space="preserve">Identifiers</w:t>
            </w:r>
          </w:p>
        </w:tc>
        <w:tc>
          <w:tcPr/>
          <w:p>
            <w:pPr>
              <w:pStyle w:val="Compact"/>
              <w:jc w:val="left"/>
            </w:pPr>
            <w:r>
              <w:t xml:space="preserve">Name, email, phone, account ID, IP address.</w:t>
            </w:r>
          </w:p>
        </w:tc>
      </w:tr>
      <w:tr>
        <w:tc>
          <w:tcPr/>
          <w:p>
            <w:pPr>
              <w:pStyle w:val="Compact"/>
              <w:jc w:val="left"/>
            </w:pPr>
            <w:r>
              <w:rPr>
                <w:bCs/>
                <w:b/>
              </w:rPr>
              <w:t xml:space="preserve">Customer records / contact info</w:t>
            </w:r>
          </w:p>
        </w:tc>
        <w:tc>
          <w:tcPr/>
          <w:p>
            <w:pPr>
              <w:pStyle w:val="Compact"/>
              <w:jc w:val="left"/>
            </w:pPr>
            <w:r>
              <w:t xml:space="preserve">Mailing address, billing address, profile photo.</w:t>
            </w:r>
          </w:p>
        </w:tc>
      </w:tr>
      <w:tr>
        <w:tc>
          <w:tcPr/>
          <w:p>
            <w:pPr>
              <w:pStyle w:val="Compact"/>
              <w:jc w:val="left"/>
            </w:pPr>
            <w:r>
              <w:rPr>
                <w:bCs/>
                <w:b/>
              </w:rPr>
              <w:t xml:space="preserve">Characteristics of protected classifications</w:t>
            </w:r>
          </w:p>
        </w:tc>
        <w:tc>
          <w:tcPr/>
          <w:p>
            <w:pPr>
              <w:pStyle w:val="Compact"/>
              <w:jc w:val="left"/>
            </w:pPr>
            <w:r>
              <w:t xml:space="preserve">Age (to verify 18+), language preference.</w:t>
            </w:r>
          </w:p>
        </w:tc>
      </w:tr>
      <w:tr>
        <w:tc>
          <w:tcPr/>
          <w:p>
            <w:pPr>
              <w:pStyle w:val="Compact"/>
              <w:jc w:val="left"/>
            </w:pPr>
            <w:r>
              <w:rPr>
                <w:bCs/>
                <w:b/>
              </w:rPr>
              <w:t xml:space="preserve">Commercial information</w:t>
            </w:r>
          </w:p>
        </w:tc>
        <w:tc>
          <w:tcPr/>
          <w:p>
            <w:pPr>
              <w:pStyle w:val="Compact"/>
              <w:jc w:val="left"/>
            </w:pPr>
            <w:r>
              <w:t xml:space="preserve">Booking history, transaction records, preferences.</w:t>
            </w:r>
          </w:p>
        </w:tc>
      </w:tr>
      <w:tr>
        <w:tc>
          <w:tcPr/>
          <w:p>
            <w:pPr>
              <w:pStyle w:val="Compact"/>
              <w:jc w:val="left"/>
            </w:pPr>
            <w:r>
              <w:rPr>
                <w:bCs/>
                <w:b/>
              </w:rPr>
              <w:t xml:space="preserve">Geolocation data</w:t>
            </w:r>
          </w:p>
        </w:tc>
        <w:tc>
          <w:tcPr/>
          <w:p>
            <w:pPr>
              <w:pStyle w:val="Compact"/>
              <w:jc w:val="left"/>
            </w:pPr>
            <w:r>
              <w:t xml:space="preserve">Service area, property address (precise location with consent for arrival check-in).</w:t>
            </w:r>
          </w:p>
        </w:tc>
      </w:tr>
      <w:tr>
        <w:tc>
          <w:tcPr/>
          <w:p>
            <w:pPr>
              <w:pStyle w:val="Compact"/>
              <w:jc w:val="left"/>
            </w:pPr>
            <w:r>
              <w:rPr>
                <w:bCs/>
                <w:b/>
              </w:rPr>
              <w:t xml:space="preserve">Sensory data</w:t>
            </w:r>
          </w:p>
        </w:tc>
        <w:tc>
          <w:tcPr/>
          <w:p>
            <w:pPr>
              <w:pStyle w:val="Compact"/>
              <w:jc w:val="left"/>
            </w:pPr>
            <w:r>
              <w:t xml:space="preserve">Photos uploaded by Users (before/after, profile).</w:t>
            </w:r>
          </w:p>
        </w:tc>
      </w:tr>
      <w:tr>
        <w:tc>
          <w:tcPr/>
          <w:p>
            <w:pPr>
              <w:pStyle w:val="Compact"/>
              <w:jc w:val="left"/>
            </w:pPr>
            <w:r>
              <w:rPr>
                <w:bCs/>
                <w:b/>
              </w:rPr>
              <w:t xml:space="preserve">Professional/employment info (Pros)</w:t>
            </w:r>
          </w:p>
        </w:tc>
        <w:tc>
          <w:tcPr/>
          <w:p>
            <w:pPr>
              <w:pStyle w:val="Compact"/>
              <w:jc w:val="left"/>
            </w:pPr>
            <w:r>
              <w:t xml:space="preserve">Business license, EIN, insurance certificate, certifications.</w:t>
            </w:r>
          </w:p>
        </w:tc>
      </w:tr>
      <w:tr>
        <w:tc>
          <w:tcPr/>
          <w:p>
            <w:pPr>
              <w:pStyle w:val="Compact"/>
              <w:jc w:val="left"/>
            </w:pPr>
            <w:r>
              <w:rPr>
                <w:bCs/>
                <w:b/>
              </w:rPr>
              <w:t xml:space="preserve">Inferences</w:t>
            </w:r>
          </w:p>
        </w:tc>
        <w:tc>
          <w:tcPr/>
          <w:p>
            <w:pPr>
              <w:pStyle w:val="Compact"/>
              <w:jc w:val="left"/>
            </w:pPr>
            <w:r>
              <w:t xml:space="preserve">Reliability indicators, service preferences.</w:t>
            </w:r>
          </w:p>
        </w:tc>
      </w:tr>
      <w:tr>
        <w:tc>
          <w:tcPr/>
          <w:p>
            <w:pPr>
              <w:pStyle w:val="Compact"/>
              <w:jc w:val="left"/>
            </w:pPr>
            <w:r>
              <w:rPr>
                <w:bCs/>
                <w:b/>
              </w:rPr>
              <w:t xml:space="preserve">Sensitive personal information (Pros)</w:t>
            </w:r>
          </w:p>
        </w:tc>
        <w:tc>
          <w:tcPr/>
          <w:p>
            <w:pPr>
              <w:pStyle w:val="Compact"/>
              <w:jc w:val="left"/>
            </w:pPr>
            <w:r>
              <w:t xml:space="preserve">Last 4 of SSN or Tax ID (for IRS reporting), date of birth, government-issued ID, background-check authorization.</w:t>
            </w:r>
          </w:p>
        </w:tc>
      </w:tr>
    </w:tbl>
    <w:bookmarkEnd w:id="22"/>
    <w:bookmarkStart w:id="24" w:name="information-collected-automatically"/>
    <w:p>
      <w:pPr>
        <w:pStyle w:val="Heading3"/>
      </w:pPr>
      <w:r>
        <w:t xml:space="preserve">3.2 Information Collected Automatically</w:t>
      </w:r>
    </w:p>
    <w:p>
      <w:pPr>
        <w:numPr>
          <w:ilvl w:val="0"/>
          <w:numId w:val="1001"/>
        </w:numPr>
        <w:pStyle w:val="Compact"/>
      </w:pPr>
      <w:r>
        <w:rPr>
          <w:bCs/>
          <w:b/>
        </w:rPr>
        <w:t xml:space="preserve">Device and usage data</w:t>
      </w:r>
      <w:r>
        <w:t xml:space="preserve">: IP address, device type, OS, browser, app version, language, time zone, referrer, pages viewed, features used, crash logs, session duration.</w:t>
      </w:r>
    </w:p>
    <w:p>
      <w:pPr>
        <w:numPr>
          <w:ilvl w:val="0"/>
          <w:numId w:val="1001"/>
        </w:numPr>
        <w:pStyle w:val="Compact"/>
      </w:pPr>
      <w:r>
        <w:rPr>
          <w:bCs/>
          <w:b/>
        </w:rPr>
        <w:t xml:space="preserve">Approximate location</w:t>
      </w:r>
      <w:r>
        <w:t xml:space="preserve"> </w:t>
      </w:r>
      <w:r>
        <w:t xml:space="preserve">(from IP) and, with your permission,</w:t>
      </w:r>
      <w:r>
        <w:t xml:space="preserve"> </w:t>
      </w:r>
      <w:r>
        <w:rPr>
          <w:bCs/>
          <w:b/>
        </w:rPr>
        <w:t xml:space="preserve">precise GPS location</w:t>
      </w:r>
      <w:r>
        <w:t xml:space="preserve"> </w:t>
      </w:r>
      <w:r>
        <w:t xml:space="preserve">for arrival/departure check-ins (Pros) or service-area matching.</w:t>
      </w:r>
    </w:p>
    <w:p>
      <w:pPr>
        <w:numPr>
          <w:ilvl w:val="0"/>
          <w:numId w:val="1001"/>
        </w:numPr>
        <w:pStyle w:val="Compact"/>
      </w:pPr>
      <w:r>
        <w:rPr>
          <w:bCs/>
          <w:b/>
        </w:rPr>
        <w:t xml:space="preserve">Cookies and similar technologies</w:t>
      </w:r>
      <w:r>
        <w:t xml:space="preserve">: see our</w:t>
      </w:r>
      <w:r>
        <w:t xml:space="preserve"> </w:t>
      </w:r>
      <w:hyperlink r:id="rId23">
        <w:r>
          <w:rPr>
            <w:rStyle w:val="Hyperlink"/>
          </w:rPr>
          <w:t xml:space="preserve">Cookie Policy</w:t>
        </w:r>
      </w:hyperlink>
      <w:r>
        <w:t xml:space="preserve">.</w:t>
      </w:r>
    </w:p>
    <w:bookmarkEnd w:id="24"/>
    <w:bookmarkStart w:id="25" w:name="information-from-third-parties"/>
    <w:p>
      <w:pPr>
        <w:pStyle w:val="Heading3"/>
      </w:pPr>
      <w:r>
        <w:t xml:space="preserve">3.3 Information from Third Parties</w:t>
      </w:r>
    </w:p>
    <w:p>
      <w:pPr>
        <w:numPr>
          <w:ilvl w:val="0"/>
          <w:numId w:val="1002"/>
        </w:numPr>
        <w:pStyle w:val="Compact"/>
      </w:pPr>
      <w:r>
        <w:rPr>
          <w:bCs/>
          <w:b/>
        </w:rPr>
        <w:t xml:space="preserve">Stripe, Inc.</w:t>
      </w:r>
      <w:r>
        <w:t xml:space="preserve"> </w:t>
      </w:r>
      <w:r>
        <w:t xml:space="preserve">— payment status, risk signals, payout records.</w:t>
      </w:r>
    </w:p>
    <w:p>
      <w:pPr>
        <w:numPr>
          <w:ilvl w:val="0"/>
          <w:numId w:val="1002"/>
        </w:numPr>
        <w:pStyle w:val="Compact"/>
      </w:pPr>
      <w:r>
        <w:rPr>
          <w:bCs/>
          <w:b/>
        </w:rPr>
        <w:t xml:space="preserve">Identity verification and background-check vendors</w:t>
      </w:r>
      <w:r>
        <w:t xml:space="preserve"> </w:t>
      </w:r>
      <w:r>
        <w:t xml:space="preserve">(for Pro onboarding only, under a separate</w:t>
      </w:r>
      <w:r>
        <w:t xml:space="preserve"> </w:t>
      </w:r>
      <w:r>
        <w:rPr>
          <w:bCs/>
          <w:b/>
        </w:rPr>
        <w:t xml:space="preserve">Standalone FCRA Disclosure and Authorization</w:t>
      </w:r>
      <w:r>
        <w:t xml:space="preserve">).</w:t>
      </w:r>
    </w:p>
    <w:p>
      <w:pPr>
        <w:numPr>
          <w:ilvl w:val="0"/>
          <w:numId w:val="1002"/>
        </w:numPr>
        <w:pStyle w:val="Compact"/>
      </w:pPr>
      <w:r>
        <w:rPr>
          <w:bCs/>
          <w:b/>
        </w:rPr>
        <w:t xml:space="preserve">Mapping/geocoding providers</w:t>
      </w:r>
      <w:r>
        <w:t xml:space="preserve"> </w:t>
      </w:r>
      <w:r>
        <w:t xml:space="preserve">(e.g., Google Maps).</w:t>
      </w:r>
    </w:p>
    <w:p>
      <w:pPr>
        <w:numPr>
          <w:ilvl w:val="0"/>
          <w:numId w:val="1002"/>
        </w:numPr>
        <w:pStyle w:val="Compact"/>
      </w:pPr>
      <w:r>
        <w:rPr>
          <w:bCs/>
          <w:b/>
        </w:rPr>
        <w:t xml:space="preserve">Analytics and fraud-prevention providers</w:t>
      </w:r>
      <w:r>
        <w:t xml:space="preserve">.</w:t>
      </w:r>
    </w:p>
    <w:p>
      <w:pPr>
        <w:numPr>
          <w:ilvl w:val="0"/>
          <w:numId w:val="1002"/>
        </w:numPr>
        <w:pStyle w:val="Compact"/>
      </w:pPr>
      <w:r>
        <w:rPr>
          <w:bCs/>
          <w:b/>
        </w:rPr>
        <w:t xml:space="preserve">Referral sources</w:t>
      </w:r>
      <w:r>
        <w:t xml:space="preserve"> </w:t>
      </w:r>
      <w:r>
        <w:t xml:space="preserve">— when another User refers you to the Platform.</w:t>
      </w:r>
    </w:p>
    <w:p>
      <w:pPr>
        <w:pStyle w:val="FirstParagraph"/>
      </w:pPr>
      <w:r>
        <w:t xml:space="preserve">We do not knowingly collect personal information from anyone</w:t>
      </w:r>
      <w:r>
        <w:t xml:space="preserve"> </w:t>
      </w:r>
      <w:r>
        <w:rPr>
          <w:bCs/>
          <w:b/>
        </w:rPr>
        <w:t xml:space="preserve">under 18</w:t>
      </w:r>
      <w:r>
        <w:t xml:space="preserve">.</w:t>
      </w:r>
    </w:p>
    <w:bookmarkEnd w:id="25"/>
    <w:bookmarkStart w:id="26" w:name="in-app-communications"/>
    <w:p>
      <w:pPr>
        <w:pStyle w:val="Heading3"/>
      </w:pPr>
      <w:r>
        <w:t xml:space="preserve">3.4 In-App Communications</w:t>
      </w:r>
    </w:p>
    <w:p>
      <w:pPr>
        <w:pStyle w:val="FirstParagraph"/>
      </w:pPr>
      <w:r>
        <w:t xml:space="preserve">Messages exchanged between Users through the in-app messaging system are stored on our infrastructure for a limited time (typically 90 days post-Booking) to support dispute resolution, fraud prevention, and trust and safety. Users should not exchange highly sensitive information (financial account numbers, SSNs, passwords) in messages.</w:t>
      </w:r>
    </w:p>
    <w:p>
      <w:r>
        <w:pict>
          <v:rect style="width:0;height:1.5pt" o:hralign="center" o:hrstd="t" o:hr="t"/>
        </w:pict>
      </w:r>
    </w:p>
    <w:bookmarkEnd w:id="26"/>
    <w:bookmarkEnd w:id="27"/>
    <w:bookmarkStart w:id="28" w:name="sensitive-personal-information"/>
    <w:p>
      <w:pPr>
        <w:pStyle w:val="Heading2"/>
      </w:pPr>
      <w:r>
        <w:t xml:space="preserve">4. Sensitive Personal Information</w:t>
      </w:r>
    </w:p>
    <w:p>
      <w:pPr>
        <w:pStyle w:val="FirstParagraph"/>
      </w:pPr>
      <w:r>
        <w:t xml:space="preserve">The CCPA/CPRA defines certain data as</w:t>
      </w:r>
      <w:r>
        <w:t xml:space="preserve"> </w:t>
      </w:r>
      <w:r>
        <w:t xml:space="preserve">“</w:t>
      </w:r>
      <w:r>
        <w:rPr>
          <w:bCs/>
          <w:b/>
        </w:rPr>
        <w:t xml:space="preserve">Sensitive Personal Information (SPI)</w:t>
      </w:r>
      <w:r>
        <w:t xml:space="preserve">.</w:t>
      </w:r>
      <w:r>
        <w:t xml:space="preserve">”</w:t>
      </w:r>
      <w:r>
        <w:t xml:space="preserve"> </w:t>
      </w:r>
      <w:r>
        <w:t xml:space="preserve">For Pros, this includes the last 4 of SSN or Tax ID (for IRS reporting), precise geolocation (during active check-ins), and government-issued ID.</w:t>
      </w:r>
    </w:p>
    <w:p>
      <w:pPr>
        <w:pStyle w:val="BodyText"/>
      </w:pPr>
      <w:r>
        <w:t xml:space="preserve">PureTask uses SPI</w:t>
      </w:r>
      <w:r>
        <w:t xml:space="preserve"> </w:t>
      </w:r>
      <w:r>
        <w:rPr>
          <w:bCs/>
          <w:b/>
        </w:rPr>
        <w:t xml:space="preserve">only for purposes that are reasonably necessary</w:t>
      </w:r>
      <w:r>
        <w:t xml:space="preserve"> </w:t>
      </w:r>
      <w:r>
        <w:t xml:space="preserve">to provide the Platform: identity verification, tax reporting, fraud prevention, and trust and safety. We do not use SPI to infer characteristics about Users, for advertising, or for any purpose unrelated to those listed. Accordingly, under Cal. Civ. Code § 1798.121, the right to limit use of SPI</w:t>
      </w:r>
      <w:r>
        <w:t xml:space="preserve"> </w:t>
      </w:r>
      <w:r>
        <w:rPr>
          <w:bCs/>
          <w:b/>
        </w:rPr>
        <w:t xml:space="preserve">does not apply</w:t>
      </w:r>
      <w:r>
        <w:t xml:space="preserve"> </w:t>
      </w:r>
      <w:r>
        <w:t xml:space="preserve">to our current processing. You may still submit a request to limit; we will respond as required by law. We will reassess this position annually.</w:t>
      </w:r>
    </w:p>
    <w:p>
      <w:r>
        <w:pict>
          <v:rect style="width:0;height:1.5pt" o:hralign="center" o:hrstd="t" o:hr="t"/>
        </w:pict>
      </w:r>
    </w:p>
    <w:bookmarkEnd w:id="28"/>
    <w:bookmarkStart w:id="31" w:name="how-we-use-personal-information"/>
    <w:p>
      <w:pPr>
        <w:pStyle w:val="Heading2"/>
      </w:pPr>
      <w:r>
        <w:t xml:space="preserve">5. How We Use Personal Information</w:t>
      </w:r>
    </w:p>
    <w:p>
      <w:pPr>
        <w:pStyle w:val="FirstParagraph"/>
      </w:pPr>
      <w:r>
        <w:t xml:space="preserve">We use personal information to:</w:t>
      </w:r>
    </w:p>
    <w:p>
      <w:pPr>
        <w:numPr>
          <w:ilvl w:val="0"/>
          <w:numId w:val="1003"/>
        </w:numPr>
        <w:pStyle w:val="Compact"/>
      </w:pPr>
      <w:r>
        <w:rPr>
          <w:bCs/>
          <w:b/>
        </w:rPr>
        <w:t xml:space="preserve">Provide the Platform</w:t>
      </w:r>
      <w:r>
        <w:t xml:space="preserve"> </w:t>
      </w:r>
      <w:r>
        <w:t xml:space="preserve">— create accounts, match Clients with Pros, process bookings and payments, deliver notifications.</w:t>
      </w:r>
    </w:p>
    <w:p>
      <w:pPr>
        <w:numPr>
          <w:ilvl w:val="0"/>
          <w:numId w:val="1003"/>
        </w:numPr>
        <w:pStyle w:val="Compact"/>
      </w:pPr>
      <w:r>
        <w:rPr>
          <w:bCs/>
          <w:b/>
        </w:rPr>
        <w:t xml:space="preserve">Verify identity, trust, and safety</w:t>
      </w:r>
      <w:r>
        <w:t xml:space="preserve"> </w:t>
      </w:r>
      <w:r>
        <w:t xml:space="preserve">— confirm Pro eligibility, perform background and watchlist screening, detect fraud, prevent abuse.</w:t>
      </w:r>
    </w:p>
    <w:p>
      <w:pPr>
        <w:numPr>
          <w:ilvl w:val="0"/>
          <w:numId w:val="1003"/>
        </w:numPr>
        <w:pStyle w:val="Compact"/>
      </w:pPr>
      <w:r>
        <w:rPr>
          <w:bCs/>
          <w:b/>
        </w:rPr>
        <w:t xml:space="preserve">Process payments and payouts</w:t>
      </w:r>
      <w:r>
        <w:t xml:space="preserve"> </w:t>
      </w:r>
      <w:r>
        <w:t xml:space="preserve">— facilitate Stripe Connect charges, application fees, and tax forms.</w:t>
      </w:r>
    </w:p>
    <w:p>
      <w:pPr>
        <w:numPr>
          <w:ilvl w:val="0"/>
          <w:numId w:val="1003"/>
        </w:numPr>
        <w:pStyle w:val="Compact"/>
      </w:pPr>
      <w:r>
        <w:rPr>
          <w:bCs/>
          <w:b/>
        </w:rPr>
        <w:t xml:space="preserve">Communicate</w:t>
      </w:r>
      <w:r>
        <w:t xml:space="preserve"> </w:t>
      </w:r>
      <w:r>
        <w:t xml:space="preserve">— send transactional messages, service announcements, and (with consent where required) marketing.</w:t>
      </w:r>
    </w:p>
    <w:p>
      <w:pPr>
        <w:numPr>
          <w:ilvl w:val="0"/>
          <w:numId w:val="1003"/>
        </w:numPr>
        <w:pStyle w:val="Compact"/>
      </w:pPr>
      <w:r>
        <w:rPr>
          <w:bCs/>
          <w:b/>
        </w:rPr>
        <w:t xml:space="preserve">Personalize and improve</w:t>
      </w:r>
      <w:r>
        <w:t xml:space="preserve"> </w:t>
      </w:r>
      <w:r>
        <w:t xml:space="preserve">— tailor matching, recommendations, and content.</w:t>
      </w:r>
    </w:p>
    <w:p>
      <w:pPr>
        <w:numPr>
          <w:ilvl w:val="0"/>
          <w:numId w:val="1003"/>
        </w:numPr>
        <w:pStyle w:val="Compact"/>
      </w:pPr>
      <w:r>
        <w:rPr>
          <w:bCs/>
          <w:b/>
        </w:rPr>
        <w:t xml:space="preserve">Analytics and research</w:t>
      </w:r>
      <w:r>
        <w:t xml:space="preserve"> </w:t>
      </w:r>
      <w:r>
        <w:t xml:space="preserve">— measure usage, debug, develop new features.</w:t>
      </w:r>
    </w:p>
    <w:p>
      <w:pPr>
        <w:numPr>
          <w:ilvl w:val="0"/>
          <w:numId w:val="1003"/>
        </w:numPr>
        <w:pStyle w:val="Compact"/>
      </w:pPr>
      <w:r>
        <w:rPr>
          <w:bCs/>
          <w:b/>
        </w:rPr>
        <w:t xml:space="preserve">Legal and compliance</w:t>
      </w:r>
      <w:r>
        <w:t xml:space="preserve"> </w:t>
      </w:r>
      <w:r>
        <w:t xml:space="preserve">— comply with laws, respond to legal process, enforce Terms, protect rights, property, and safety.</w:t>
      </w:r>
    </w:p>
    <w:bookmarkStart w:id="29" w:name="automated-decision-making-and-profiling"/>
    <w:p>
      <w:pPr>
        <w:pStyle w:val="Heading3"/>
      </w:pPr>
      <w:r>
        <w:t xml:space="preserve">5.1 Automated Decision-Making and Profiling</w:t>
      </w:r>
    </w:p>
    <w:p>
      <w:pPr>
        <w:pStyle w:val="FirstParagraph"/>
      </w:pPr>
      <w:r>
        <w:t xml:space="preserve">The Platform uses automated processes to:</w:t>
      </w:r>
      <w:r>
        <w:t xml:space="preserve"> </w:t>
      </w:r>
      <w:r>
        <w:t xml:space="preserve">-</w:t>
      </w:r>
      <w:r>
        <w:t xml:space="preserve"> </w:t>
      </w:r>
      <w:r>
        <w:rPr>
          <w:bCs/>
          <w:b/>
        </w:rPr>
        <w:t xml:space="preserve">Match Clients with Pros</w:t>
      </w:r>
      <w:r>
        <w:t xml:space="preserve"> </w:t>
      </w:r>
      <w:r>
        <w:t xml:space="preserve">based on availability, service area, ratings, and Client-stated preferences;</w:t>
      </w:r>
      <w:r>
        <w:t xml:space="preserve"> </w:t>
      </w:r>
      <w:r>
        <w:t xml:space="preserve">-</w:t>
      </w:r>
      <w:r>
        <w:t xml:space="preserve"> </w:t>
      </w:r>
      <w:r>
        <w:rPr>
          <w:bCs/>
          <w:b/>
        </w:rPr>
        <w:t xml:space="preserve">Detect fraud</w:t>
      </w:r>
      <w:r>
        <w:t xml:space="preserve"> </w:t>
      </w:r>
      <w:r>
        <w:t xml:space="preserve">(unusual login patterns, payment anomalies);</w:t>
      </w:r>
      <w:r>
        <w:t xml:space="preserve"> </w:t>
      </w:r>
      <w:r>
        <w:t xml:space="preserve">-</w:t>
      </w:r>
      <w:r>
        <w:t xml:space="preserve"> </w:t>
      </w:r>
      <w:r>
        <w:rPr>
          <w:bCs/>
          <w:b/>
        </w:rPr>
        <w:t xml:space="preserve">Compute Reliability Indicators</w:t>
      </w:r>
      <w:r>
        <w:t xml:space="preserve"> </w:t>
      </w:r>
      <w:r>
        <w:t xml:space="preserve">from neutral signals (on-time arrival, completion rate, dispute history).</w:t>
      </w:r>
    </w:p>
    <w:p>
      <w:pPr>
        <w:pStyle w:val="BodyText"/>
      </w:pPr>
      <w:r>
        <w:t xml:space="preserve">These automated processes are</w:t>
      </w:r>
      <w:r>
        <w:t xml:space="preserve"> </w:t>
      </w:r>
      <w:r>
        <w:rPr>
          <w:bCs/>
          <w:b/>
        </w:rPr>
        <w:t xml:space="preserve">not</w:t>
      </w:r>
      <w:r>
        <w:t xml:space="preserve"> </w:t>
      </w:r>
      <w:r>
        <w:t xml:space="preserve">used for decisions that produce legal or similarly significant effects (e.g., we do not auto-deny Pro applications without human review of background-check results). You may request human review of any matching or fraud-detection outcome by emailing</w:t>
      </w:r>
      <w:r>
        <w:t xml:space="preserve"> </w:t>
      </w:r>
      <w:r>
        <w:rPr>
          <w:bCs/>
          <w:b/>
        </w:rPr>
        <w:t xml:space="preserve">otherpuretask@gmail.com</w:t>
      </w:r>
      <w:r>
        <w:t xml:space="preserve">.</w:t>
      </w:r>
    </w:p>
    <w:bookmarkEnd w:id="29"/>
    <w:bookmarkStart w:id="30" w:name="legal-bases-where-applicable"/>
    <w:p>
      <w:pPr>
        <w:pStyle w:val="Heading3"/>
      </w:pPr>
      <w:r>
        <w:t xml:space="preserve">5.2 Legal Bases (where applicable)</w:t>
      </w:r>
    </w:p>
    <w:p>
      <w:pPr>
        <w:pStyle w:val="FirstParagraph"/>
      </w:pPr>
      <w:r>
        <w:t xml:space="preserve">Where the</w:t>
      </w:r>
      <w:r>
        <w:t xml:space="preserve"> </w:t>
      </w:r>
      <w:r>
        <w:rPr>
          <w:bCs/>
          <w:b/>
        </w:rPr>
        <w:t xml:space="preserve">GDPR or UK GDPR</w:t>
      </w:r>
      <w:r>
        <w:t xml:space="preserve"> </w:t>
      </w:r>
      <w:r>
        <w:t xml:space="preserve">applies (we do not currently market in EEA/UK and geo-block where feasible), legal bases include contract performance, legitimate interests (fraud prevention, product improvement), consent (marketing emails, precise location), and legal obligation.</w:t>
      </w:r>
    </w:p>
    <w:p>
      <w:r>
        <w:pict>
          <v:rect style="width:0;height:1.5pt" o:hralign="center" o:hrstd="t" o:hr="t"/>
        </w:pict>
      </w:r>
    </w:p>
    <w:bookmarkEnd w:id="30"/>
    <w:bookmarkEnd w:id="31"/>
    <w:bookmarkStart w:id="35" w:name="how-we-share-personal-information"/>
    <w:p>
      <w:pPr>
        <w:pStyle w:val="Heading2"/>
      </w:pPr>
      <w:r>
        <w:t xml:space="preserve">6. How We Share Personal Information</w:t>
      </w:r>
    </w:p>
    <w:bookmarkStart w:id="32" w:name="recipients"/>
    <w:p>
      <w:pPr>
        <w:pStyle w:val="Heading3"/>
      </w:pPr>
      <w:r>
        <w:t xml:space="preserve">6.1 Recipients</w:t>
      </w:r>
    </w:p>
    <w:p>
      <w:pPr>
        <w:numPr>
          <w:ilvl w:val="0"/>
          <w:numId w:val="1004"/>
        </w:numPr>
        <w:pStyle w:val="Compact"/>
      </w:pPr>
      <w:r>
        <w:rPr>
          <w:bCs/>
          <w:b/>
        </w:rPr>
        <w:t xml:space="preserve">Other Users</w:t>
      </w:r>
      <w:r>
        <w:t xml:space="preserve"> </w:t>
      </w:r>
      <w:r>
        <w:t xml:space="preserve">— to enable a Booking. Clients see Pro names, photos, ratings, and approximate service area. Pros see Client first name, Booking address (only after assignment), and access notes. Reviews are visible to the User community.</w:t>
      </w:r>
    </w:p>
    <w:p>
      <w:pPr>
        <w:numPr>
          <w:ilvl w:val="0"/>
          <w:numId w:val="1004"/>
        </w:numPr>
        <w:pStyle w:val="Compact"/>
      </w:pPr>
      <w:r>
        <w:rPr>
          <w:bCs/>
          <w:b/>
        </w:rPr>
        <w:t xml:space="preserve">Service providers and processors</w:t>
      </w:r>
      <w:r>
        <w:t xml:space="preserve">:</w:t>
      </w:r>
    </w:p>
    <w:p>
      <w:pPr>
        <w:numPr>
          <w:ilvl w:val="1"/>
          <w:numId w:val="1005"/>
        </w:numPr>
        <w:pStyle w:val="Compact"/>
      </w:pPr>
      <w:r>
        <w:rPr>
          <w:bCs/>
          <w:b/>
        </w:rPr>
        <w:t xml:space="preserve">Stripe, Inc.</w:t>
      </w:r>
      <w:r>
        <w:t xml:space="preserve"> </w:t>
      </w:r>
      <w:r>
        <w:t xml:space="preserve">— payment processing, Stripe Connect Express payouts, identity verification.</w:t>
      </w:r>
    </w:p>
    <w:p>
      <w:pPr>
        <w:numPr>
          <w:ilvl w:val="1"/>
          <w:numId w:val="1005"/>
        </w:numPr>
        <w:pStyle w:val="Compact"/>
      </w:pPr>
      <w:r>
        <w:rPr>
          <w:bCs/>
          <w:b/>
        </w:rPr>
        <w:t xml:space="preserve">Supabase</w:t>
      </w:r>
      <w:r>
        <w:t xml:space="preserve"> </w:t>
      </w:r>
      <w:r>
        <w:t xml:space="preserve">— hosting and authentication.</w:t>
      </w:r>
    </w:p>
    <w:p>
      <w:pPr>
        <w:numPr>
          <w:ilvl w:val="1"/>
          <w:numId w:val="1005"/>
        </w:numPr>
        <w:pStyle w:val="Compact"/>
      </w:pPr>
      <w:r>
        <w:rPr>
          <w:bCs/>
          <w:b/>
        </w:rPr>
        <w:t xml:space="preserve">OneSignal</w:t>
      </w:r>
      <w:r>
        <w:t xml:space="preserve"> </w:t>
      </w:r>
      <w:r>
        <w:t xml:space="preserve">— push notifications.</w:t>
      </w:r>
    </w:p>
    <w:p>
      <w:pPr>
        <w:numPr>
          <w:ilvl w:val="1"/>
          <w:numId w:val="1005"/>
        </w:numPr>
        <w:pStyle w:val="Compact"/>
      </w:pPr>
      <w:r>
        <w:rPr>
          <w:bCs/>
          <w:b/>
        </w:rPr>
        <w:t xml:space="preserve">Lovable Analytics</w:t>
      </w:r>
      <w:r>
        <w:t xml:space="preserve"> </w:t>
      </w:r>
      <w:r>
        <w:t xml:space="preserve">(or equivalent) — usage analytics and error tracking.</w:t>
      </w:r>
    </w:p>
    <w:p>
      <w:pPr>
        <w:numPr>
          <w:ilvl w:val="1"/>
          <w:numId w:val="1005"/>
        </w:numPr>
        <w:pStyle w:val="Compact"/>
      </w:pPr>
      <w:r>
        <w:rPr>
          <w:bCs/>
          <w:b/>
        </w:rPr>
        <w:t xml:space="preserve">Background-check vendor</w:t>
      </w:r>
      <w:r>
        <w:t xml:space="preserve"> </w:t>
      </w:r>
      <w:r>
        <w:t xml:space="preserve">(e.g., Checkr, Sterling) — Pro screening.</w:t>
      </w:r>
    </w:p>
    <w:p>
      <w:pPr>
        <w:numPr>
          <w:ilvl w:val="1"/>
          <w:numId w:val="1005"/>
        </w:numPr>
        <w:pStyle w:val="Compact"/>
      </w:pPr>
      <w:r>
        <w:rPr>
          <w:bCs/>
          <w:b/>
        </w:rPr>
        <w:t xml:space="preserve">Email/SMS providers</w:t>
      </w:r>
      <w:r>
        <w:t xml:space="preserve"> </w:t>
      </w:r>
      <w:r>
        <w:t xml:space="preserve">(e.g., Twilio, SendGrid) — transactional and marketing communications.</w:t>
      </w:r>
    </w:p>
    <w:p>
      <w:pPr>
        <w:numPr>
          <w:ilvl w:val="1"/>
          <w:numId w:val="1005"/>
        </w:numPr>
        <w:pStyle w:val="Compact"/>
      </w:pPr>
      <w:r>
        <w:rPr>
          <w:bCs/>
          <w:b/>
        </w:rPr>
        <w:t xml:space="preserve">Cloud infrastructure providers</w:t>
      </w:r>
      <w:r>
        <w:t xml:space="preserve"> </w:t>
      </w:r>
      <w:r>
        <w:t xml:space="preserve">— storage and compute.</w:t>
      </w:r>
    </w:p>
    <w:p>
      <w:pPr>
        <w:numPr>
          <w:ilvl w:val="0"/>
          <w:numId w:val="1004"/>
        </w:numPr>
        <w:pStyle w:val="Compact"/>
      </w:pPr>
      <w:r>
        <w:rPr>
          <w:bCs/>
          <w:b/>
        </w:rPr>
        <w:t xml:space="preserve">Legal and safety recipients</w:t>
      </w:r>
      <w:r>
        <w:t xml:space="preserve"> </w:t>
      </w:r>
      <w:r>
        <w:t xml:space="preserve">— law enforcement, regulators, and others when disclosure is necessary to comply with law, enforce Terms, or protect rights, property, or safety.</w:t>
      </w:r>
    </w:p>
    <w:p>
      <w:pPr>
        <w:numPr>
          <w:ilvl w:val="0"/>
          <w:numId w:val="1004"/>
        </w:numPr>
        <w:pStyle w:val="Compact"/>
      </w:pPr>
      <w:r>
        <w:rPr>
          <w:bCs/>
          <w:b/>
        </w:rPr>
        <w:t xml:space="preserve">Business transfers</w:t>
      </w:r>
      <w:r>
        <w:t xml:space="preserve"> </w:t>
      </w:r>
      <w:r>
        <w:t xml:space="preserve">— in connection with a merger, acquisition, financing, reorganization, or sale of assets.</w:t>
      </w:r>
    </w:p>
    <w:p>
      <w:pPr>
        <w:numPr>
          <w:ilvl w:val="0"/>
          <w:numId w:val="1004"/>
        </w:numPr>
        <w:pStyle w:val="Compact"/>
      </w:pPr>
      <w:r>
        <w:rPr>
          <w:bCs/>
          <w:b/>
        </w:rPr>
        <w:t xml:space="preserve">With your consent</w:t>
      </w:r>
      <w:r>
        <w:t xml:space="preserve"> </w:t>
      </w:r>
      <w:r>
        <w:t xml:space="preserve">— for any other purpose disclosed to you.</w:t>
      </w:r>
    </w:p>
    <w:bookmarkEnd w:id="32"/>
    <w:bookmarkStart w:id="33" w:name="sale-and-share"/>
    <w:p>
      <w:pPr>
        <w:pStyle w:val="Heading3"/>
      </w:pPr>
      <w:r>
        <w:t xml:space="preserve">6.2 Sale and Share</w:t>
      </w:r>
    </w:p>
    <w:p>
      <w:pPr>
        <w:pStyle w:val="FirstParagraph"/>
      </w:pPr>
      <w:r>
        <w:t xml:space="preserve">We do</w:t>
      </w:r>
      <w:r>
        <w:t xml:space="preserve"> </w:t>
      </w:r>
      <w:r>
        <w:rPr>
          <w:bCs/>
          <w:b/>
        </w:rPr>
        <w:t xml:space="preserve">not</w:t>
      </w:r>
      <w:r>
        <w:t xml:space="preserve"> </w:t>
      </w:r>
      <w:r>
        <w:t xml:space="preserve">sell personal information for monetary consideration. We may</w:t>
      </w:r>
      <w:r>
        <w:t xml:space="preserve"> </w:t>
      </w:r>
      <w:r>
        <w:rPr>
          <w:bCs/>
          <w:b/>
        </w:rPr>
        <w:t xml:space="preserve">share</w:t>
      </w:r>
      <w:r>
        <w:t xml:space="preserve"> </w:t>
      </w:r>
      <w:r>
        <w:t xml:space="preserve">limited identifiers and online activity with advertising partners for cross-context behavioral advertising, which qualifies as a</w:t>
      </w:r>
      <w:r>
        <w:t xml:space="preserve"> </w:t>
      </w:r>
      <w:r>
        <w:t xml:space="preserve">“</w:t>
      </w:r>
      <w:r>
        <w:t xml:space="preserve">sale</w:t>
      </w:r>
      <w:r>
        <w:t xml:space="preserve">”</w:t>
      </w:r>
      <w:r>
        <w:t xml:space="preserve"> </w:t>
      </w:r>
      <w:r>
        <w:t xml:space="preserve">or</w:t>
      </w:r>
      <w:r>
        <w:t xml:space="preserve"> </w:t>
      </w:r>
      <w:r>
        <w:t xml:space="preserve">“</w:t>
      </w:r>
      <w:r>
        <w:t xml:space="preserve">share</w:t>
      </w:r>
      <w:r>
        <w:t xml:space="preserve">”</w:t>
      </w:r>
      <w:r>
        <w:t xml:space="preserve"> </w:t>
      </w:r>
      <w:r>
        <w:t xml:space="preserve">under CCPA/CPRA; you may opt out via the</w:t>
      </w:r>
      <w:r>
        <w:t xml:space="preserve"> </w:t>
      </w:r>
      <w:r>
        <w:t xml:space="preserve">“</w:t>
      </w:r>
      <w:r>
        <w:t xml:space="preserve">Do Not Sell or Share</w:t>
      </w:r>
      <w:r>
        <w:t xml:space="preserve">”</w:t>
      </w:r>
      <w:r>
        <w:t xml:space="preserve"> </w:t>
      </w:r>
      <w:r>
        <w:t xml:space="preserve">link (Section 10). We honor the</w:t>
      </w:r>
      <w:r>
        <w:t xml:space="preserve"> </w:t>
      </w:r>
      <w:r>
        <w:rPr>
          <w:bCs/>
          <w:b/>
        </w:rPr>
        <w:t xml:space="preserve">Global Privacy Control (GPC)</w:t>
      </w:r>
      <w:r>
        <w:t xml:space="preserve"> </w:t>
      </w:r>
      <w:r>
        <w:t xml:space="preserve">browser signal as an opt-out.</w:t>
      </w:r>
    </w:p>
    <w:bookmarkEnd w:id="33"/>
    <w:bookmarkStart w:id="34" w:name="categories-disclosed-in-prior-12-months"/>
    <w:p>
      <w:pPr>
        <w:pStyle w:val="Heading3"/>
      </w:pPr>
      <w:r>
        <w:t xml:space="preserve">6.3 Categories Disclosed in Prior 12 Months</w:t>
      </w:r>
    </w:p>
    <w:p>
      <w:pPr>
        <w:pStyle w:val="FirstParagraph"/>
      </w:pPr>
      <w:r>
        <w:t xml:space="preserve">In the prior 12 months, we have disclosed for a business purpose: identifiers, customer records, commercial information, geolocation, internet/network activity, professional information, and (for Pros) sensitive personal information. We have</w:t>
      </w:r>
      <w:r>
        <w:t xml:space="preserve"> </w:t>
      </w:r>
      <w:r>
        <w:rPr>
          <w:bCs/>
          <w:b/>
        </w:rPr>
        <w:t xml:space="preserve">not</w:t>
      </w:r>
      <w:r>
        <w:t xml:space="preserve"> </w:t>
      </w:r>
      <w:r>
        <w:t xml:space="preserve">sold any personal information for monetary consideration.</w:t>
      </w:r>
    </w:p>
    <w:p>
      <w:r>
        <w:pict>
          <v:rect style="width:0;height:1.5pt" o:hralign="center" o:hrstd="t" o:hr="t"/>
        </w:pict>
      </w:r>
    </w:p>
    <w:bookmarkEnd w:id="34"/>
    <w:bookmarkEnd w:id="35"/>
    <w:bookmarkStart w:id="36" w:name="aggregated-and-de-identified-data"/>
    <w:p>
      <w:pPr>
        <w:pStyle w:val="Heading2"/>
      </w:pPr>
      <w:r>
        <w:t xml:space="preserve">7. Aggregated and De-Identified Data</w:t>
      </w:r>
    </w:p>
    <w:p>
      <w:pPr>
        <w:pStyle w:val="FirstParagraph"/>
      </w:pPr>
      <w:r>
        <w:t xml:space="preserve">We may use aggregated, anonymized, or de-identified data (where individuals cannot reasonably be re-identified) for any lawful purpose, including product improvement, analytics, marketing, and research. De-identified data is</w:t>
      </w:r>
      <w:r>
        <w:t xml:space="preserve"> </w:t>
      </w:r>
      <w:r>
        <w:rPr>
          <w:bCs/>
          <w:b/>
        </w:rPr>
        <w:t xml:space="preserve">not</w:t>
      </w:r>
      <w:r>
        <w:t xml:space="preserve"> </w:t>
      </w:r>
      <w:r>
        <w:t xml:space="preserve">considered personal information. PureTask commits to:</w:t>
      </w:r>
    </w:p>
    <w:p>
      <w:pPr>
        <w:numPr>
          <w:ilvl w:val="0"/>
          <w:numId w:val="1006"/>
        </w:numPr>
        <w:pStyle w:val="Compact"/>
      </w:pPr>
      <w:r>
        <w:t xml:space="preserve">Implementing technical safeguards preventing re-identification;</w:t>
      </w:r>
    </w:p>
    <w:p>
      <w:pPr>
        <w:numPr>
          <w:ilvl w:val="0"/>
          <w:numId w:val="1006"/>
        </w:numPr>
        <w:pStyle w:val="Compact"/>
      </w:pPr>
      <w:r>
        <w:t xml:space="preserve">Maintaining business processes specifically prohibiting re-identification;</w:t>
      </w:r>
    </w:p>
    <w:p>
      <w:pPr>
        <w:numPr>
          <w:ilvl w:val="0"/>
          <w:numId w:val="1006"/>
        </w:numPr>
        <w:pStyle w:val="Compact"/>
      </w:pPr>
      <w:r>
        <w:t xml:space="preserve">Contractually obligating recipients of de-identified data not to attempt re-identification;</w:t>
      </w:r>
    </w:p>
    <w:p>
      <w:pPr>
        <w:numPr>
          <w:ilvl w:val="0"/>
          <w:numId w:val="1006"/>
        </w:numPr>
        <w:pStyle w:val="Compact"/>
      </w:pPr>
      <w:r>
        <w:t xml:space="preserve">Maintaining business processes preventing inadvertent release.</w:t>
      </w:r>
    </w:p>
    <w:p>
      <w:r>
        <w:pict>
          <v:rect style="width:0;height:1.5pt" o:hralign="center" o:hrstd="t" o:hr="t"/>
        </w:pict>
      </w:r>
    </w:p>
    <w:bookmarkEnd w:id="36"/>
    <w:bookmarkStart w:id="37" w:name="cookies-and-tracking"/>
    <w:p>
      <w:pPr>
        <w:pStyle w:val="Heading2"/>
      </w:pPr>
      <w:r>
        <w:t xml:space="preserve">8. Cookies and Tracking</w:t>
      </w:r>
    </w:p>
    <w:p>
      <w:pPr>
        <w:pStyle w:val="FirstParagraph"/>
      </w:pPr>
      <w:r>
        <w:t xml:space="preserve">The Platform uses cookies, SDKs, pixels, and similar technologies for authentication, preferences, analytics, and limited marketing. See the</w:t>
      </w:r>
      <w:r>
        <w:t xml:space="preserve"> </w:t>
      </w:r>
      <w:hyperlink r:id="rId23">
        <w:r>
          <w:rPr>
            <w:rStyle w:val="Hyperlink"/>
          </w:rPr>
          <w:t xml:space="preserve">Cookie Policy</w:t>
        </w:r>
      </w:hyperlink>
      <w:r>
        <w:t xml:space="preserve"> </w:t>
      </w:r>
      <w:r>
        <w:t xml:space="preserve">for details and choices.</w:t>
      </w:r>
    </w:p>
    <w:p>
      <w:r>
        <w:pict>
          <v:rect style="width:0;height:1.5pt" o:hralign="center" o:hrstd="t" o:hr="t"/>
        </w:pict>
      </w:r>
    </w:p>
    <w:bookmarkEnd w:id="37"/>
    <w:bookmarkStart w:id="38" w:name="data-retention"/>
    <w:p>
      <w:pPr>
        <w:pStyle w:val="Heading2"/>
      </w:pPr>
      <w:r>
        <w:t xml:space="preserve">9. Data Retention</w:t>
      </w:r>
    </w:p>
    <w:p>
      <w:pPr>
        <w:pStyle w:val="FirstParagraph"/>
      </w:pPr>
      <w:r>
        <w:t xml:space="preserve">We retain personal information only as long as needed: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Category</w:t>
            </w:r>
          </w:p>
        </w:tc>
        <w:tc>
          <w:tcPr/>
          <w:p>
            <w:pPr>
              <w:pStyle w:val="Compact"/>
              <w:jc w:val="left"/>
            </w:pPr>
            <w:r>
              <w:t xml:space="preserve">Retention Period</w:t>
            </w:r>
          </w:p>
        </w:tc>
        <w:tc>
          <w:tcPr/>
          <w:p>
            <w:pPr>
              <w:pStyle w:val="Compact"/>
              <w:jc w:val="left"/>
            </w:pPr>
            <w:r>
              <w:t xml:space="preserve">Criteria / Basis</w:t>
            </w:r>
          </w:p>
        </w:tc>
      </w:tr>
      <w:tr>
        <w:tc>
          <w:tcPr/>
          <w:p>
            <w:pPr>
              <w:pStyle w:val="Compact"/>
              <w:jc w:val="left"/>
            </w:pPr>
            <w:r>
              <w:t xml:space="preserve">Account &amp; profile</w:t>
            </w:r>
          </w:p>
        </w:tc>
        <w:tc>
          <w:tcPr/>
          <w:p>
            <w:pPr>
              <w:pStyle w:val="Compact"/>
              <w:jc w:val="left"/>
            </w:pPr>
            <w:r>
              <w:t xml:space="preserve">Life of account +</w:t>
            </w:r>
            <w:r>
              <w:t xml:space="preserve"> </w:t>
            </w:r>
            <w:r>
              <w:rPr>
                <w:bCs/>
                <w:b/>
              </w:rPr>
              <w:t xml:space="preserve">4 years</w:t>
            </w:r>
          </w:p>
        </w:tc>
        <w:tc>
          <w:tcPr/>
          <w:p>
            <w:pPr>
              <w:pStyle w:val="Compact"/>
              <w:jc w:val="left"/>
            </w:pPr>
            <w:r>
              <w:t xml:space="preserve">California 4-year SOL for written contract claims (CCP § 337).</w:t>
            </w:r>
          </w:p>
        </w:tc>
      </w:tr>
      <w:tr>
        <w:tc>
          <w:tcPr/>
          <w:p>
            <w:pPr>
              <w:pStyle w:val="Compact"/>
              <w:jc w:val="left"/>
            </w:pPr>
            <w:r>
              <w:t xml:space="preserve">Booking and financial records</w:t>
            </w:r>
          </w:p>
        </w:tc>
        <w:tc>
          <w:tcPr/>
          <w:p>
            <w:pPr>
              <w:pStyle w:val="Compact"/>
              <w:jc w:val="left"/>
            </w:pPr>
            <w:r>
              <w:rPr>
                <w:bCs/>
                <w:b/>
              </w:rPr>
              <w:t xml:space="preserve">7 years</w:t>
            </w:r>
            <w:r>
              <w:t xml:space="preserve"> </w:t>
            </w:r>
            <w:r>
              <w:t xml:space="preserve">after last Booking</w:t>
            </w:r>
          </w:p>
        </w:tc>
        <w:tc>
          <w:tcPr/>
          <w:p>
            <w:pPr>
              <w:pStyle w:val="Compact"/>
              <w:jc w:val="left"/>
            </w:pPr>
            <w:r>
              <w:t xml:space="preserve">IRS records-retention guidance and payment-facilitator tax reporting.</w:t>
            </w:r>
          </w:p>
        </w:tc>
      </w:tr>
      <w:tr>
        <w:tc>
          <w:tcPr/>
          <w:p>
            <w:pPr>
              <w:pStyle w:val="Compact"/>
              <w:jc w:val="left"/>
            </w:pPr>
            <w:r>
              <w:t xml:space="preserve">Identity and background-check records (Pros)</w:t>
            </w:r>
          </w:p>
        </w:tc>
        <w:tc>
          <w:tcPr/>
          <w:p>
            <w:pPr>
              <w:pStyle w:val="Compact"/>
              <w:jc w:val="left"/>
            </w:pPr>
            <w:r>
              <w:rPr>
                <w:bCs/>
                <w:b/>
              </w:rPr>
              <w:t xml:space="preserve">5 years</w:t>
            </w:r>
            <w:r>
              <w:t xml:space="preserve"> </w:t>
            </w:r>
            <w:r>
              <w:t xml:space="preserve">after Pro deactivation</w:t>
            </w:r>
          </w:p>
        </w:tc>
        <w:tc>
          <w:tcPr/>
          <w:p>
            <w:pPr>
              <w:pStyle w:val="Compact"/>
              <w:jc w:val="left"/>
            </w:pPr>
            <w:r>
              <w:t xml:space="preserve">FCRA vendor minimum + state law.</w:t>
            </w:r>
          </w:p>
        </w:tc>
      </w:tr>
      <w:tr>
        <w:tc>
          <w:tcPr/>
          <w:p>
            <w:pPr>
              <w:pStyle w:val="Compact"/>
              <w:jc w:val="left"/>
            </w:pPr>
            <w:r>
              <w:t xml:space="preserve">In-app messages</w:t>
            </w:r>
          </w:p>
        </w:tc>
        <w:tc>
          <w:tcPr/>
          <w:p>
            <w:pPr>
              <w:pStyle w:val="Compact"/>
              <w:jc w:val="left"/>
            </w:pPr>
            <w:r>
              <w:rPr>
                <w:bCs/>
                <w:b/>
              </w:rPr>
              <w:t xml:space="preserve">90 days</w:t>
            </w:r>
            <w:r>
              <w:t xml:space="preserve"> </w:t>
            </w:r>
            <w:r>
              <w:t xml:space="preserve">after Booking completion</w:t>
            </w:r>
          </w:p>
        </w:tc>
        <w:tc>
          <w:tcPr/>
          <w:p>
            <w:pPr>
              <w:pStyle w:val="Compact"/>
              <w:jc w:val="left"/>
            </w:pPr>
            <w:r>
              <w:t xml:space="preserve">Dispute resolution and fraud-prevention.</w:t>
            </w:r>
          </w:p>
        </w:tc>
      </w:tr>
      <w:tr>
        <w:tc>
          <w:tcPr/>
          <w:p>
            <w:pPr>
              <w:pStyle w:val="Compact"/>
              <w:jc w:val="left"/>
            </w:pPr>
            <w:r>
              <w:t xml:space="preserve">Marketing data</w:t>
            </w:r>
          </w:p>
        </w:tc>
        <w:tc>
          <w:tcPr/>
          <w:p>
            <w:pPr>
              <w:pStyle w:val="Compact"/>
              <w:jc w:val="left"/>
            </w:pPr>
            <w:r>
              <w:t xml:space="preserve">Until you opt out, then suppression-list only</w:t>
            </w:r>
          </w:p>
        </w:tc>
        <w:tc>
          <w:tcPr/>
          <w:p>
            <w:pPr>
              <w:pStyle w:val="Compact"/>
              <w:jc w:val="left"/>
            </w:pPr>
            <w:r>
              <w:t xml:space="preserve">CAN-SPAM / TCPA suppression.</w:t>
            </w:r>
          </w:p>
        </w:tc>
      </w:tr>
      <w:tr>
        <w:tc>
          <w:tcPr/>
          <w:p>
            <w:pPr>
              <w:pStyle w:val="Compact"/>
              <w:jc w:val="left"/>
            </w:pPr>
            <w:r>
              <w:t xml:space="preserve">Support tickets and dispute records</w:t>
            </w:r>
          </w:p>
        </w:tc>
        <w:tc>
          <w:tcPr/>
          <w:p>
            <w:pPr>
              <w:pStyle w:val="Compact"/>
              <w:jc w:val="left"/>
            </w:pPr>
            <w:r>
              <w:rPr>
                <w:bCs/>
                <w:b/>
              </w:rPr>
              <w:t xml:space="preserve">5 years</w:t>
            </w:r>
            <w:r>
              <w:t xml:space="preserve"> </w:t>
            </w:r>
            <w:r>
              <w:t xml:space="preserve">after resolution</w:t>
            </w:r>
          </w:p>
        </w:tc>
        <w:tc>
          <w:tcPr/>
          <w:p>
            <w:pPr>
              <w:pStyle w:val="Compact"/>
              <w:jc w:val="left"/>
            </w:pPr>
            <w:r>
              <w:t xml:space="preserve">Reasonable defense window.</w:t>
            </w:r>
          </w:p>
        </w:tc>
      </w:tr>
      <w:tr>
        <w:tc>
          <w:tcPr/>
          <w:p>
            <w:pPr>
              <w:pStyle w:val="Compact"/>
              <w:jc w:val="left"/>
            </w:pPr>
            <w:r>
              <w:t xml:space="preserve">Server logs</w:t>
            </w:r>
          </w:p>
        </w:tc>
        <w:tc>
          <w:tcPr/>
          <w:p>
            <w:pPr>
              <w:pStyle w:val="Compact"/>
              <w:jc w:val="left"/>
            </w:pPr>
            <w:r>
              <w:rPr>
                <w:bCs/>
                <w:b/>
              </w:rPr>
              <w:t xml:space="preserve">90 days</w:t>
            </w:r>
          </w:p>
        </w:tc>
        <w:tc>
          <w:tcPr/>
          <w:p>
            <w:pPr>
              <w:pStyle w:val="Compact"/>
              <w:jc w:val="left"/>
            </w:pPr>
            <w:r>
              <w:t xml:space="preserve">Operational debugging and security.</w:t>
            </w:r>
          </w:p>
        </w:tc>
      </w:tr>
    </w:tbl>
    <w:p>
      <w:pPr>
        <w:pStyle w:val="BodyText"/>
      </w:pPr>
      <w:r>
        <w:t xml:space="preserve">We may</w:t>
      </w:r>
      <w:r>
        <w:t xml:space="preserve"> </w:t>
      </w:r>
      <w:r>
        <w:rPr>
          <w:bCs/>
          <w:b/>
        </w:rPr>
        <w:t xml:space="preserve">anonymize</w:t>
      </w:r>
      <w:r>
        <w:t xml:space="preserve"> </w:t>
      </w:r>
      <w:r>
        <w:t xml:space="preserve">data and retain it indefinitely; anonymized data is not personal information.</w:t>
      </w:r>
    </w:p>
    <w:p>
      <w:r>
        <w:pict>
          <v:rect style="width:0;height:1.5pt" o:hralign="center" o:hrstd="t" o:hr="t"/>
        </w:pict>
      </w:r>
    </w:p>
    <w:bookmarkEnd w:id="38"/>
    <w:bookmarkStart w:id="47" w:name="your-rights-and-choices"/>
    <w:p>
      <w:pPr>
        <w:pStyle w:val="Heading2"/>
      </w:pPr>
      <w:r>
        <w:t xml:space="preserve">10. Your Rights and Choices</w:t>
      </w:r>
    </w:p>
    <w:bookmarkStart w:id="39" w:name="all-users"/>
    <w:p>
      <w:pPr>
        <w:pStyle w:val="Heading3"/>
      </w:pPr>
      <w:r>
        <w:t xml:space="preserve">10.1 All Users</w:t>
      </w:r>
    </w:p>
    <w:p>
      <w:pPr>
        <w:numPr>
          <w:ilvl w:val="0"/>
          <w:numId w:val="1007"/>
        </w:numPr>
        <w:pStyle w:val="Compact"/>
      </w:pPr>
      <w:r>
        <w:rPr>
          <w:bCs/>
          <w:b/>
        </w:rPr>
        <w:t xml:space="preserve">Access, correct, or update</w:t>
      </w:r>
      <w:r>
        <w:t xml:space="preserve"> </w:t>
      </w:r>
      <w:r>
        <w:t xml:space="preserve">via account settings or</w:t>
      </w:r>
      <w:r>
        <w:t xml:space="preserve"> </w:t>
      </w:r>
      <w:r>
        <w:rPr>
          <w:bCs/>
          <w:b/>
        </w:rPr>
        <w:t xml:space="preserve">otherpuretask@gmail.com</w:t>
      </w:r>
      <w:r>
        <w:t xml:space="preserve">.</w:t>
      </w:r>
    </w:p>
    <w:p>
      <w:pPr>
        <w:numPr>
          <w:ilvl w:val="0"/>
          <w:numId w:val="1007"/>
        </w:numPr>
        <w:pStyle w:val="Compact"/>
      </w:pPr>
      <w:r>
        <w:rPr>
          <w:bCs/>
          <w:b/>
        </w:rPr>
        <w:t xml:space="preserve">Delete your account</w:t>
      </w:r>
      <w:r>
        <w:t xml:space="preserve"> </w:t>
      </w:r>
      <w:r>
        <w:t xml:space="preserve">by emailing</w:t>
      </w:r>
      <w:r>
        <w:t xml:space="preserve"> </w:t>
      </w:r>
      <w:r>
        <w:rPr>
          <w:bCs/>
          <w:b/>
        </w:rPr>
        <w:t xml:space="preserve">otherpuretask@gmail.com</w:t>
      </w:r>
      <w:r>
        <w:t xml:space="preserve"> </w:t>
      </w:r>
      <w:r>
        <w:t xml:space="preserve">(subject to retention obligations).</w:t>
      </w:r>
    </w:p>
    <w:p>
      <w:pPr>
        <w:numPr>
          <w:ilvl w:val="0"/>
          <w:numId w:val="1007"/>
        </w:numPr>
        <w:pStyle w:val="Compact"/>
      </w:pPr>
      <w:r>
        <w:rPr>
          <w:bCs/>
          <w:b/>
        </w:rPr>
        <w:t xml:space="preserve">Communication preferences</w:t>
      </w:r>
      <w:r>
        <w:t xml:space="preserve"> </w:t>
      </w:r>
      <w:r>
        <w:t xml:space="preserve">— opt out of marketing emails via the unsubscribe link; manage push and SMS in app settings.</w:t>
      </w:r>
    </w:p>
    <w:p>
      <w:pPr>
        <w:numPr>
          <w:ilvl w:val="0"/>
          <w:numId w:val="1007"/>
        </w:numPr>
        <w:pStyle w:val="Compact"/>
      </w:pPr>
      <w:r>
        <w:rPr>
          <w:bCs/>
          <w:b/>
        </w:rPr>
        <w:t xml:space="preserve">Withdraw consent</w:t>
      </w:r>
      <w:r>
        <w:t xml:space="preserve"> </w:t>
      </w:r>
      <w:r>
        <w:t xml:space="preserve">for any consent-based processing at any time.</w:t>
      </w:r>
    </w:p>
    <w:bookmarkEnd w:id="39"/>
    <w:bookmarkStart w:id="40" w:name="california-residents-ccpacpra"/>
    <w:p>
      <w:pPr>
        <w:pStyle w:val="Heading3"/>
      </w:pPr>
      <w:r>
        <w:t xml:space="preserve">10.2 California Residents (CCPA/CPRA)</w:t>
      </w:r>
    </w:p>
    <w:p>
      <w:pPr>
        <w:pStyle w:val="FirstParagraph"/>
      </w:pPr>
      <w:r>
        <w:t xml:space="preserve">You have the right to:</w:t>
      </w:r>
    </w:p>
    <w:p>
      <w:pPr>
        <w:numPr>
          <w:ilvl w:val="0"/>
          <w:numId w:val="1008"/>
        </w:numPr>
        <w:pStyle w:val="Compact"/>
      </w:pPr>
      <w:r>
        <w:rPr>
          <w:bCs/>
          <w:b/>
        </w:rPr>
        <w:t xml:space="preserve">Know</w:t>
      </w:r>
      <w:r>
        <w:t xml:space="preserve"> </w:t>
      </w:r>
      <w:r>
        <w:t xml:space="preserve">what personal information we collect, use, disclose, sell, or share (12-month look-back).</w:t>
      </w:r>
    </w:p>
    <w:p>
      <w:pPr>
        <w:numPr>
          <w:ilvl w:val="0"/>
          <w:numId w:val="1008"/>
        </w:numPr>
        <w:pStyle w:val="Compact"/>
      </w:pPr>
      <w:r>
        <w:rPr>
          <w:bCs/>
          <w:b/>
        </w:rPr>
        <w:t xml:space="preserve">Delete</w:t>
      </w:r>
      <w:r>
        <w:t xml:space="preserve"> </w:t>
      </w:r>
      <w:r>
        <w:t xml:space="preserve">personal information, subject to exceptions.</w:t>
      </w:r>
    </w:p>
    <w:p>
      <w:pPr>
        <w:numPr>
          <w:ilvl w:val="0"/>
          <w:numId w:val="1008"/>
        </w:numPr>
        <w:pStyle w:val="Compact"/>
      </w:pPr>
      <w:r>
        <w:rPr>
          <w:bCs/>
          <w:b/>
        </w:rPr>
        <w:t xml:space="preserve">Correct</w:t>
      </w:r>
      <w:r>
        <w:t xml:space="preserve"> </w:t>
      </w:r>
      <w:r>
        <w:t xml:space="preserve">inaccurate information.</w:t>
      </w:r>
    </w:p>
    <w:p>
      <w:pPr>
        <w:numPr>
          <w:ilvl w:val="0"/>
          <w:numId w:val="1008"/>
        </w:numPr>
        <w:pStyle w:val="Compact"/>
      </w:pPr>
      <w:r>
        <w:rPr>
          <w:bCs/>
          <w:b/>
        </w:rPr>
        <w:t xml:space="preserve">Opt out</w:t>
      </w:r>
      <w:r>
        <w:t xml:space="preserve"> </w:t>
      </w:r>
      <w:r>
        <w:t xml:space="preserve">of</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for cross-context behavioral advertising — use the</w:t>
      </w:r>
      <w:r>
        <w:t xml:space="preserve"> </w:t>
      </w:r>
      <w:r>
        <w:rPr>
          <w:bCs/>
          <w:b/>
        </w:rPr>
        <w:t xml:space="preserve">“</w:t>
      </w:r>
      <w:r>
        <w:rPr>
          <w:bCs/>
          <w:b/>
        </w:rPr>
        <w:t xml:space="preserve">Do Not Sell or Share My Personal Information</w:t>
      </w:r>
      <w:r>
        <w:rPr>
          <w:bCs/>
          <w:b/>
        </w:rPr>
        <w:t xml:space="preserve">”</w:t>
      </w:r>
      <w:r>
        <w:t xml:space="preserve"> </w:t>
      </w:r>
      <w:r>
        <w:t xml:space="preserve">link in the footer or the GPC signal.</w:t>
      </w:r>
    </w:p>
    <w:p>
      <w:pPr>
        <w:numPr>
          <w:ilvl w:val="0"/>
          <w:numId w:val="1008"/>
        </w:numPr>
        <w:pStyle w:val="Compact"/>
      </w:pPr>
      <w:r>
        <w:rPr>
          <w:bCs/>
          <w:b/>
        </w:rPr>
        <w:t xml:space="preserve">Limit use of sensitive personal information</w:t>
      </w:r>
      <w:r>
        <w:t xml:space="preserve"> </w:t>
      </w:r>
      <w:r>
        <w:t xml:space="preserve">— use the</w:t>
      </w:r>
      <w:r>
        <w:t xml:space="preserve"> </w:t>
      </w:r>
      <w:r>
        <w:rPr>
          <w:bCs/>
          <w:b/>
        </w:rPr>
        <w:t xml:space="preserve">“</w:t>
      </w:r>
      <w:r>
        <w:rPr>
          <w:bCs/>
          <w:b/>
        </w:rPr>
        <w:t xml:space="preserve">Limit Use of My Sensitive Personal Information</w:t>
      </w:r>
      <w:r>
        <w:rPr>
          <w:bCs/>
          <w:b/>
        </w:rPr>
        <w:t xml:space="preserve">”</w:t>
      </w:r>
      <w:r>
        <w:t xml:space="preserve"> </w:t>
      </w:r>
      <w:r>
        <w:t xml:space="preserve">link in the footer or email us.</w:t>
      </w:r>
    </w:p>
    <w:p>
      <w:pPr>
        <w:numPr>
          <w:ilvl w:val="0"/>
          <w:numId w:val="1008"/>
        </w:numPr>
        <w:pStyle w:val="Compact"/>
      </w:pPr>
      <w:r>
        <w:rPr>
          <w:bCs/>
          <w:b/>
        </w:rPr>
        <w:t xml:space="preserve">Non-discrimination</w:t>
      </w:r>
      <w:r>
        <w:t xml:space="preserve"> </w:t>
      </w:r>
      <w:r>
        <w:t xml:space="preserve">for exercising your rights.</w:t>
      </w:r>
    </w:p>
    <w:p>
      <w:pPr>
        <w:numPr>
          <w:ilvl w:val="0"/>
          <w:numId w:val="1008"/>
        </w:numPr>
        <w:pStyle w:val="Compact"/>
      </w:pPr>
      <w:r>
        <w:rPr>
          <w:bCs/>
          <w:b/>
        </w:rPr>
        <w:t xml:space="preserve">Request a human review</w:t>
      </w:r>
      <w:r>
        <w:t xml:space="preserve"> </w:t>
      </w:r>
      <w:r>
        <w:t xml:space="preserve">of automated decisions affecting you (see Section 5.1).</w:t>
      </w:r>
    </w:p>
    <w:p>
      <w:pPr>
        <w:pStyle w:val="FirstParagraph"/>
      </w:pPr>
      <w:r>
        <w:t xml:space="preserve">To exercise, email</w:t>
      </w:r>
      <w:r>
        <w:t xml:space="preserve"> </w:t>
      </w:r>
      <w:r>
        <w:rPr>
          <w:bCs/>
          <w:b/>
        </w:rPr>
        <w:t xml:space="preserve">otherpuretask@gmail.com</w:t>
      </w:r>
      <w:r>
        <w:t xml:space="preserve"> </w:t>
      </w:r>
      <w:r>
        <w:t xml:space="preserve">with subject</w:t>
      </w:r>
      <w:r>
        <w:t xml:space="preserve"> </w:t>
      </w:r>
      <w:r>
        <w:t xml:space="preserve">“</w:t>
      </w:r>
      <w:r>
        <w:rPr>
          <w:bCs/>
          <w:b/>
        </w:rPr>
        <w:t xml:space="preserve">CCPA Request</w:t>
      </w:r>
      <w:r>
        <w:t xml:space="preserve">.</w:t>
      </w:r>
      <w:r>
        <w:t xml:space="preserve">”</w:t>
      </w:r>
      <w:r>
        <w:t xml:space="preserve"> </w:t>
      </w:r>
      <w:r>
        <w:t xml:space="preserve">We verify identity (typically by confirming account details) and respond within</w:t>
      </w:r>
      <w:r>
        <w:t xml:space="preserve"> </w:t>
      </w:r>
      <w:r>
        <w:rPr>
          <w:bCs/>
          <w:b/>
        </w:rPr>
        <w:t xml:space="preserve">45 days</w:t>
      </w:r>
      <w:r>
        <w:t xml:space="preserve"> </w:t>
      </w:r>
      <w:r>
        <w:t xml:space="preserve">(extendable by 45 with notice).</w:t>
      </w:r>
      <w:r>
        <w:t xml:space="preserve"> </w:t>
      </w:r>
      <w:r>
        <w:rPr>
          <w:bCs/>
          <w:b/>
        </w:rPr>
        <w:t xml:space="preserve">Authorized agents</w:t>
      </w:r>
      <w:r>
        <w:t xml:space="preserve"> </w:t>
      </w:r>
      <w:r>
        <w:t xml:space="preserve">may submit requests with written authorization signed by you and proof of agent identity.</w:t>
      </w:r>
    </w:p>
    <w:bookmarkEnd w:id="40"/>
    <w:bookmarkStart w:id="41" w:name="X8a6a375de4398d2dda5ccdf2acc3a1501653606"/>
    <w:p>
      <w:pPr>
        <w:pStyle w:val="Heading3"/>
      </w:pPr>
      <w:r>
        <w:t xml:space="preserve">10.3 California</w:t>
      </w:r>
      <w:r>
        <w:t xml:space="preserve"> </w:t>
      </w:r>
      <w:r>
        <w:t xml:space="preserve">“</w:t>
      </w:r>
      <w:r>
        <w:t xml:space="preserve">Shine the Light</w:t>
      </w:r>
      <w:r>
        <w:t xml:space="preserve">”</w:t>
      </w:r>
      <w:r>
        <w:t xml:space="preserve"> </w:t>
      </w:r>
      <w:r>
        <w:t xml:space="preserve">(Cal. Civ. Code § 1798.83)</w:t>
      </w:r>
    </w:p>
    <w:p>
      <w:pPr>
        <w:pStyle w:val="FirstParagraph"/>
      </w:pPr>
      <w:r>
        <w:t xml:space="preserve">California residents who provided personal information to PureTask in connection with the Platform may request — once per year, at no charge — information about disclosures of personal information for</w:t>
      </w:r>
      <w:r>
        <w:t xml:space="preserve"> </w:t>
      </w:r>
      <w:r>
        <w:rPr>
          <w:bCs/>
          <w:b/>
        </w:rPr>
        <w:t xml:space="preserve">third parties’ direct marketing purposes</w:t>
      </w:r>
      <w:r>
        <w:t xml:space="preserve"> </w:t>
      </w:r>
      <w:r>
        <w:t xml:space="preserve">during the prior calendar year.</w:t>
      </w:r>
      <w:r>
        <w:t xml:space="preserve"> </w:t>
      </w:r>
      <w:r>
        <w:rPr>
          <w:bCs/>
          <w:b/>
        </w:rPr>
        <w:t xml:space="preserve">PureTask does not currently disclose personal information to third parties for those parties’ own direct-marketing purposes.</w:t>
      </w:r>
      <w:r>
        <w:t xml:space="preserve"> </w:t>
      </w:r>
      <w:r>
        <w:t xml:space="preserve">To submit a Shine the Light request, email</w:t>
      </w:r>
      <w:r>
        <w:t xml:space="preserve"> </w:t>
      </w:r>
      <w:r>
        <w:rPr>
          <w:bCs/>
          <w:b/>
        </w:rPr>
        <w:t xml:space="preserve">otherpuretask@gmail.com</w:t>
      </w:r>
      <w:r>
        <w:t xml:space="preserve">, subject</w:t>
      </w:r>
      <w:r>
        <w:t xml:space="preserve"> </w:t>
      </w:r>
      <w:r>
        <w:t xml:space="preserve">“</w:t>
      </w:r>
      <w:r>
        <w:rPr>
          <w:bCs/>
          <w:b/>
        </w:rPr>
        <w:t xml:space="preserve">Shine the Light Request</w:t>
      </w:r>
      <w:r>
        <w:t xml:space="preserve">.</w:t>
      </w:r>
      <w:r>
        <w:t xml:space="preserve">”</w:t>
      </w:r>
    </w:p>
    <w:bookmarkEnd w:id="41"/>
    <w:bookmarkStart w:id="42" w:name="texas-residents-tdpsa"/>
    <w:p>
      <w:pPr>
        <w:pStyle w:val="Heading3"/>
      </w:pPr>
      <w:r>
        <w:t xml:space="preserve">10.4 Texas Residents (TDPSA)</w:t>
      </w:r>
    </w:p>
    <w:p>
      <w:pPr>
        <w:pStyle w:val="FirstParagraph"/>
      </w:pPr>
      <w:r>
        <w:t xml:space="preserve">You have the right to:</w:t>
      </w:r>
      <w:r>
        <w:t xml:space="preserve"> </w:t>
      </w:r>
      <w:r>
        <w:t xml:space="preserve">-</w:t>
      </w:r>
      <w:r>
        <w:t xml:space="preserve"> </w:t>
      </w:r>
      <w:r>
        <w:rPr>
          <w:bCs/>
          <w:b/>
        </w:rPr>
        <w:t xml:space="preserve">Confirm</w:t>
      </w:r>
      <w:r>
        <w:t xml:space="preserve"> </w:t>
      </w:r>
      <w:r>
        <w:t xml:space="preserve">processing;</w:t>
      </w:r>
      <w:r>
        <w:t xml:space="preserve"> </w:t>
      </w:r>
      <w:r>
        <w:t xml:space="preserve">-</w:t>
      </w:r>
      <w:r>
        <w:t xml:space="preserve"> </w:t>
      </w:r>
      <w:r>
        <w:rPr>
          <w:bCs/>
          <w:b/>
        </w:rPr>
        <w:t xml:space="preserve">Access</w:t>
      </w:r>
      <w:r>
        <w:t xml:space="preserve"> </w:t>
      </w:r>
      <w:r>
        <w:t xml:space="preserve">your data;</w:t>
      </w:r>
      <w:r>
        <w:t xml:space="preserve"> </w:t>
      </w:r>
      <w:r>
        <w:t xml:space="preserve">-</w:t>
      </w:r>
      <w:r>
        <w:t xml:space="preserve"> </w:t>
      </w:r>
      <w:r>
        <w:rPr>
          <w:bCs/>
          <w:b/>
        </w:rPr>
        <w:t xml:space="preserve">Correct</w:t>
      </w:r>
      <w:r>
        <w:t xml:space="preserve"> </w:t>
      </w:r>
      <w:r>
        <w:t xml:space="preserve">inaccuracies;</w:t>
      </w:r>
      <w:r>
        <w:t xml:space="preserve"> </w:t>
      </w:r>
      <w:r>
        <w:t xml:space="preserve">-</w:t>
      </w:r>
      <w:r>
        <w:t xml:space="preserve"> </w:t>
      </w:r>
      <w:r>
        <w:rPr>
          <w:bCs/>
          <w:b/>
        </w:rPr>
        <w:t xml:space="preserve">Delete</w:t>
      </w:r>
      <w:r>
        <w:t xml:space="preserve"> </w:t>
      </w:r>
      <w:r>
        <w:t xml:space="preserve">personal data;</w:t>
      </w:r>
      <w:r>
        <w:t xml:space="preserve"> </w:t>
      </w:r>
      <w:r>
        <w:t xml:space="preserve">-</w:t>
      </w:r>
      <w:r>
        <w:t xml:space="preserve"> </w:t>
      </w:r>
      <w:r>
        <w:rPr>
          <w:bCs/>
          <w:b/>
        </w:rPr>
        <w:t xml:space="preserve">Portable copy</w:t>
      </w:r>
      <w:r>
        <w:t xml:space="preserve"> </w:t>
      </w:r>
      <w:r>
        <w:t xml:space="preserve">in machine-readable format;</w:t>
      </w:r>
      <w:r>
        <w:t xml:space="preserve"> </w:t>
      </w:r>
      <w:r>
        <w:t xml:space="preserve">-</w:t>
      </w:r>
      <w:r>
        <w:t xml:space="preserve"> </w:t>
      </w:r>
      <w:r>
        <w:rPr>
          <w:bCs/>
          <w:b/>
        </w:rPr>
        <w:t xml:space="preserve">Opt out</w:t>
      </w:r>
      <w:r>
        <w:t xml:space="preserve"> </w:t>
      </w:r>
      <w:r>
        <w:t xml:space="preserve">of (a) targeted advertising, (b) sale, and (c) profiling with legal or similarly significant effects;</w:t>
      </w:r>
      <w:r>
        <w:t xml:space="preserve"> </w:t>
      </w:r>
      <w:r>
        <w:t xml:space="preserve">-</w:t>
      </w:r>
      <w:r>
        <w:t xml:space="preserve"> </w:t>
      </w:r>
      <w:r>
        <w:rPr>
          <w:bCs/>
          <w:b/>
        </w:rPr>
        <w:t xml:space="preserve">Appeal</w:t>
      </w:r>
      <w:r>
        <w:t xml:space="preserve"> </w:t>
      </w:r>
      <w:r>
        <w:t xml:space="preserve">a denial.</w:t>
      </w:r>
    </w:p>
    <w:p>
      <w:pPr>
        <w:pStyle w:val="BodyText"/>
      </w:pPr>
      <w:r>
        <w:t xml:space="preserve">Email</w:t>
      </w:r>
      <w:r>
        <w:t xml:space="preserve"> </w:t>
      </w:r>
      <w:r>
        <w:rPr>
          <w:bCs/>
          <w:b/>
        </w:rPr>
        <w:t xml:space="preserve">otherpuretask@gmail.com</w:t>
      </w:r>
      <w:r>
        <w:t xml:space="preserve">, subject</w:t>
      </w:r>
      <w:r>
        <w:t xml:space="preserve"> </w:t>
      </w:r>
      <w:r>
        <w:t xml:space="preserve">“</w:t>
      </w:r>
      <w:r>
        <w:rPr>
          <w:bCs/>
          <w:b/>
        </w:rPr>
        <w:t xml:space="preserve">TDPSA Request</w:t>
      </w:r>
      <w:r>
        <w:t xml:space="preserve">.</w:t>
      </w:r>
      <w:r>
        <w:t xml:space="preserve">”</w:t>
      </w:r>
      <w:r>
        <w:t xml:space="preserve"> </w:t>
      </w:r>
      <w:r>
        <w:t xml:space="preserve">We respond within</w:t>
      </w:r>
      <w:r>
        <w:t xml:space="preserve"> </w:t>
      </w:r>
      <w:r>
        <w:rPr>
          <w:bCs/>
          <w:b/>
        </w:rPr>
        <w:t xml:space="preserve">45 days</w:t>
      </w:r>
      <w:r>
        <w:t xml:space="preserve"> </w:t>
      </w:r>
      <w:r>
        <w:t xml:space="preserve">(extendable by 45). Denials appealable by replying with subject</w:t>
      </w:r>
      <w:r>
        <w:t xml:space="preserve"> </w:t>
      </w:r>
      <w:r>
        <w:t xml:space="preserve">“</w:t>
      </w:r>
      <w:r>
        <w:rPr>
          <w:bCs/>
          <w:b/>
        </w:rPr>
        <w:t xml:space="preserve">TDPSA Appeal</w:t>
      </w:r>
      <w:r>
        <w:t xml:space="preserve">”</w:t>
      </w:r>
      <w:r>
        <w:t xml:space="preserve">; we respond within 60 days. If appeal denied, contact the Texas Attorney General at</w:t>
      </w:r>
      <w:r>
        <w:t xml:space="preserve"> </w:t>
      </w:r>
      <w:r>
        <w:rPr>
          <w:bCs/>
          <w:b/>
        </w:rPr>
        <w:t xml:space="preserve">texasattorneygeneral.gov/consumer-protection</w:t>
      </w:r>
      <w:r>
        <w:t xml:space="preserve">.</w:t>
      </w:r>
    </w:p>
    <w:bookmarkEnd w:id="42"/>
    <w:bookmarkStart w:id="43" w:name="florida-residents-fdbr"/>
    <w:p>
      <w:pPr>
        <w:pStyle w:val="Heading3"/>
      </w:pPr>
      <w:r>
        <w:t xml:space="preserve">10.5 Florida Residents (FDBR)</w:t>
      </w:r>
    </w:p>
    <w:p>
      <w:pPr>
        <w:pStyle w:val="FirstParagraph"/>
      </w:pPr>
      <w:r>
        <w:t xml:space="preserve">If applicability thresholds (Fla. Stat. § 501.702) are met:</w:t>
      </w:r>
      <w:r>
        <w:t xml:space="preserve"> </w:t>
      </w:r>
      <w:r>
        <w:t xml:space="preserve">- The rights in 10.4 above;</w:t>
      </w:r>
      <w:r>
        <w:t xml:space="preserve"> </w:t>
      </w:r>
      <w:r>
        <w:t xml:space="preserve">-</w:t>
      </w:r>
      <w:r>
        <w:t xml:space="preserve"> </w:t>
      </w:r>
      <w:r>
        <w:rPr>
          <w:bCs/>
          <w:b/>
        </w:rPr>
        <w:t xml:space="preserve">Opt out of voice or facial recognition</w:t>
      </w:r>
      <w:r>
        <w:t xml:space="preserve"> </w:t>
      </w:r>
      <w:r>
        <w:t xml:space="preserve">processing;</w:t>
      </w:r>
      <w:r>
        <w:t xml:space="preserve"> </w:t>
      </w:r>
      <w:r>
        <w:t xml:space="preserve">-</w:t>
      </w:r>
      <w:r>
        <w:t xml:space="preserve"> </w:t>
      </w:r>
      <w:r>
        <w:rPr>
          <w:bCs/>
          <w:b/>
        </w:rPr>
        <w:t xml:space="preserve">Opt out of collection</w:t>
      </w:r>
      <w:r>
        <w:t xml:space="preserve"> </w:t>
      </w:r>
      <w:r>
        <w:t xml:space="preserve">of sensitive data;</w:t>
      </w:r>
      <w:r>
        <w:t xml:space="preserve"> </w:t>
      </w:r>
      <w:r>
        <w:t xml:space="preserve">-</w:t>
      </w:r>
      <w:r>
        <w:t xml:space="preserve"> </w:t>
      </w:r>
      <w:r>
        <w:rPr>
          <w:bCs/>
          <w:b/>
        </w:rPr>
        <w:t xml:space="preserve">Appeal</w:t>
      </w:r>
      <w:r>
        <w:t xml:space="preserve"> </w:t>
      </w:r>
      <w:r>
        <w:t xml:space="preserve">a denial.</w:t>
      </w:r>
    </w:p>
    <w:p>
      <w:pPr>
        <w:pStyle w:val="BodyText"/>
      </w:pPr>
      <w:r>
        <w:t xml:space="preserve">Email</w:t>
      </w:r>
      <w:r>
        <w:t xml:space="preserve"> </w:t>
      </w:r>
      <w:r>
        <w:rPr>
          <w:bCs/>
          <w:b/>
        </w:rPr>
        <w:t xml:space="preserve">otherpuretask@gmail.com</w:t>
      </w:r>
      <w:r>
        <w:t xml:space="preserve">, subject</w:t>
      </w:r>
      <w:r>
        <w:t xml:space="preserve"> </w:t>
      </w:r>
      <w:r>
        <w:t xml:space="preserve">“</w:t>
      </w:r>
      <w:r>
        <w:rPr>
          <w:bCs/>
          <w:b/>
        </w:rPr>
        <w:t xml:space="preserve">FDBR Request</w:t>
      </w:r>
      <w:r>
        <w:t xml:space="preserve">.</w:t>
      </w:r>
      <w:r>
        <w:t xml:space="preserve">”</w:t>
      </w:r>
      <w:r>
        <w:t xml:space="preserve"> </w:t>
      </w:r>
      <w:r>
        <w:t xml:space="preserve">We respond within</w:t>
      </w:r>
      <w:r>
        <w:t xml:space="preserve"> </w:t>
      </w:r>
      <w:r>
        <w:rPr>
          <w:bCs/>
          <w:b/>
        </w:rPr>
        <w:t xml:space="preserve">45 days</w:t>
      </w:r>
      <w:r>
        <w:t xml:space="preserve"> </w:t>
      </w:r>
      <w:r>
        <w:t xml:space="preserve">(extendable by 15).</w:t>
      </w:r>
    </w:p>
    <w:bookmarkEnd w:id="43"/>
    <w:bookmarkStart w:id="44" w:name="other-u.s.-state-rights"/>
    <w:p>
      <w:pPr>
        <w:pStyle w:val="Heading3"/>
      </w:pPr>
      <w:r>
        <w:t xml:space="preserve">10.6 Other U.S. State Rights</w:t>
      </w:r>
    </w:p>
    <w:p>
      <w:pPr>
        <w:pStyle w:val="FirstParagraph"/>
      </w:pPr>
      <w:r>
        <w:t xml:space="preserve">Residents of states with comparable laws — including</w:t>
      </w:r>
      <w:r>
        <w:t xml:space="preserve"> </w:t>
      </w:r>
      <w:r>
        <w:rPr>
          <w:bCs/>
          <w:b/>
        </w:rPr>
        <w:t xml:space="preserve">Virginia (VCDPA), Colorado (CPA), Connecticut (CTDPA), Utah (UCPA), Oregon (OCPA), Montana (MCDPA), Delaware (DPDPA), New Hampshire, New Jersey, Iowa, Tennessee, Maryland, Indiana, Rhode Island, Minnesota, and others as enacted</w:t>
      </w:r>
      <w:r>
        <w:t xml:space="preserve"> </w:t>
      </w:r>
      <w:r>
        <w:t xml:space="preserve">— have similar rights and may submit via</w:t>
      </w:r>
      <w:r>
        <w:t xml:space="preserve"> </w:t>
      </w:r>
      <w:r>
        <w:rPr>
          <w:bCs/>
          <w:b/>
        </w:rPr>
        <w:t xml:space="preserve">otherpuretask@gmail.com</w:t>
      </w:r>
      <w:r>
        <w:t xml:space="preserve">, subject</w:t>
      </w:r>
      <w:r>
        <w:t xml:space="preserve"> </w:t>
      </w:r>
      <w:r>
        <w:t xml:space="preserve">“</w:t>
      </w:r>
      <w:r>
        <w:rPr>
          <w:bCs/>
          <w:b/>
        </w:rPr>
        <w:t xml:space="preserve">Privacy Request</w:t>
      </w:r>
      <w:r>
        <w:t xml:space="preserve">.</w:t>
      </w:r>
      <w:r>
        <w:t xml:space="preserve">”</w:t>
      </w:r>
      <w:r>
        <w:t xml:space="preserve"> </w:t>
      </w:r>
      <w:r>
        <w:t xml:space="preserve">Each state has its own response timeline and appeal mechanism; we comply with each.</w:t>
      </w:r>
    </w:p>
    <w:bookmarkEnd w:id="44"/>
    <w:bookmarkStart w:id="45" w:name="eeauk-residents"/>
    <w:p>
      <w:pPr>
        <w:pStyle w:val="Heading3"/>
      </w:pPr>
      <w:r>
        <w:t xml:space="preserve">10.7 EEA/UK Residents</w:t>
      </w:r>
    </w:p>
    <w:p>
      <w:pPr>
        <w:pStyle w:val="FirstParagraph"/>
      </w:pPr>
      <w:r>
        <w:t xml:space="preserve">PureTask does not target the EEA or UK and geo-blocks where feasible. If you reside in the EEA or UK and access the Platform, you have rights to access, rectification, erasure, restriction, portability, and objection under GDPR/UK GDPR, plus the right to withdraw consent and lodge a complaint with your supervisory authority.</w:t>
      </w:r>
    </w:p>
    <w:bookmarkEnd w:id="45"/>
    <w:bookmarkStart w:id="46" w:name="how-to-file-a-complaint"/>
    <w:p>
      <w:pPr>
        <w:pStyle w:val="Heading3"/>
      </w:pPr>
      <w:r>
        <w:t xml:space="preserve">10.8 How to File a Complaint</w:t>
      </w:r>
    </w:p>
    <w:p>
      <w:pPr>
        <w:pStyle w:val="FirstParagraph"/>
      </w:pPr>
      <w:r>
        <w:t xml:space="preserve">If you are unsatisfied with our response:</w:t>
      </w:r>
      <w:r>
        <w:t xml:space="preserve"> </w:t>
      </w:r>
      <w:r>
        <w:t xml:space="preserve">-</w:t>
      </w:r>
      <w:r>
        <w:t xml:space="preserve"> </w:t>
      </w:r>
      <w:r>
        <w:rPr>
          <w:bCs/>
          <w:b/>
        </w:rPr>
        <w:t xml:space="preserve">California</w:t>
      </w:r>
      <w:r>
        <w:t xml:space="preserve">: California Privacy Protection Agency at</w:t>
      </w:r>
      <w:r>
        <w:t xml:space="preserve"> </w:t>
      </w:r>
      <w:r>
        <w:rPr>
          <w:bCs/>
          <w:b/>
        </w:rPr>
        <w:t xml:space="preserve">cppa.ca.gov</w:t>
      </w:r>
      <w:r>
        <w:t xml:space="preserve">, or the California Attorney General at</w:t>
      </w:r>
      <w:r>
        <w:t xml:space="preserve"> </w:t>
      </w:r>
      <w:r>
        <w:rPr>
          <w:bCs/>
          <w:b/>
        </w:rPr>
        <w:t xml:space="preserve">oag.ca.gov/privacy</w:t>
      </w:r>
      <w:r>
        <w:t xml:space="preserve">.</w:t>
      </w:r>
      <w:r>
        <w:t xml:space="preserve"> </w:t>
      </w:r>
      <w:r>
        <w:t xml:space="preserve">-</w:t>
      </w:r>
      <w:r>
        <w:t xml:space="preserve"> </w:t>
      </w:r>
      <w:r>
        <w:rPr>
          <w:bCs/>
          <w:b/>
        </w:rPr>
        <w:t xml:space="preserve">Texas</w:t>
      </w:r>
      <w:r>
        <w:t xml:space="preserve">: Texas Attorney General at</w:t>
      </w:r>
      <w:r>
        <w:t xml:space="preserve"> </w:t>
      </w:r>
      <w:r>
        <w:rPr>
          <w:bCs/>
          <w:b/>
        </w:rPr>
        <w:t xml:space="preserve">texasattorneygeneral.gov/consumer-protection</w:t>
      </w:r>
      <w:r>
        <w:t xml:space="preserve">.</w:t>
      </w:r>
      <w:r>
        <w:t xml:space="preserve"> </w:t>
      </w:r>
      <w:r>
        <w:t xml:space="preserve">-</w:t>
      </w:r>
      <w:r>
        <w:t xml:space="preserve"> </w:t>
      </w:r>
      <w:r>
        <w:rPr>
          <w:bCs/>
          <w:b/>
        </w:rPr>
        <w:t xml:space="preserve">Florida</w:t>
      </w:r>
      <w:r>
        <w:t xml:space="preserve">: Florida Attorney General at</w:t>
      </w:r>
      <w:r>
        <w:t xml:space="preserve"> </w:t>
      </w:r>
      <w:r>
        <w:rPr>
          <w:bCs/>
          <w:b/>
        </w:rPr>
        <w:t xml:space="preserve">myfloridalegal.com</w:t>
      </w:r>
      <w:r>
        <w:t xml:space="preserve">.</w:t>
      </w:r>
    </w:p>
    <w:p>
      <w:r>
        <w:pict>
          <v:rect style="width:0;height:1.5pt" o:hralign="center" o:hrstd="t" o:hr="t"/>
        </w:pict>
      </w:r>
    </w:p>
    <w:bookmarkEnd w:id="46"/>
    <w:bookmarkEnd w:id="47"/>
    <w:bookmarkStart w:id="48" w:name="security"/>
    <w:p>
      <w:pPr>
        <w:pStyle w:val="Heading2"/>
      </w:pPr>
      <w:r>
        <w:t xml:space="preserve">11. Security</w:t>
      </w:r>
    </w:p>
    <w:p>
      <w:pPr>
        <w:pStyle w:val="FirstParagraph"/>
      </w:pPr>
      <w:r>
        <w:t xml:space="preserve">We implement administrative, technical, and physical safeguards designed to protect personal information, including encryption in transit (TLS 1.2+), encryption at rest for sensitive fields (including last-4 of SSN/Tax ID and government-ID images), role-based access control, row-level security, secret rotation, audit logging, and least-privilege access. We require service providers to sign</w:t>
      </w:r>
      <w:r>
        <w:t xml:space="preserve"> </w:t>
      </w:r>
      <w:r>
        <w:rPr>
          <w:bCs/>
          <w:b/>
        </w:rPr>
        <w:t xml:space="preserve">Data Processing Addendums (DPAs)</w:t>
      </w:r>
      <w:r>
        <w:t xml:space="preserve"> </w:t>
      </w:r>
      <w:r>
        <w:t xml:space="preserve">with appropriate confidentiality and security obligations.</w:t>
      </w:r>
    </w:p>
    <w:p>
      <w:pPr>
        <w:pStyle w:val="BodyText"/>
      </w:pPr>
      <w:r>
        <w:t xml:space="preserve">No system is 100% secure. You are responsible for safeguarding your credentials.</w:t>
      </w:r>
    </w:p>
    <w:p>
      <w:pPr>
        <w:pStyle w:val="BodyText"/>
      </w:pPr>
      <w:r>
        <w:rPr>
          <w:bCs/>
          <w:b/>
        </w:rPr>
        <w:t xml:space="preserve">Breach notification.</w:t>
      </w:r>
      <w:r>
        <w:t xml:space="preserve"> </w:t>
      </w:r>
      <w:r>
        <w:t xml:space="preserve">If your personal information is compromised, we will notify you and applicable regulators within timeframes required by</w:t>
      </w:r>
      <w:r>
        <w:t xml:space="preserve"> </w:t>
      </w:r>
      <w:r>
        <w:rPr>
          <w:bCs/>
          <w:b/>
        </w:rPr>
        <w:t xml:space="preserve">Cal. Civ. Code § 1798.82</w:t>
      </w:r>
      <w:r>
        <w:t xml:space="preserve"> </w:t>
      </w:r>
      <w:r>
        <w:t xml:space="preserve">(without unreasonable delay),</w:t>
      </w:r>
      <w:r>
        <w:t xml:space="preserve"> </w:t>
      </w:r>
      <w:r>
        <w:rPr>
          <w:bCs/>
          <w:b/>
        </w:rPr>
        <w:t xml:space="preserve">Tex. Bus. &amp; Com. Code § 521.053</w:t>
      </w:r>
      <w:r>
        <w:t xml:space="preserve"> </w:t>
      </w:r>
      <w:r>
        <w:t xml:space="preserve">(no later than 60 days after determination),</w:t>
      </w:r>
      <w:r>
        <w:t xml:space="preserve"> </w:t>
      </w:r>
      <w:r>
        <w:rPr>
          <w:bCs/>
          <w:b/>
        </w:rPr>
        <w:t xml:space="preserve">Fla. Stat. § 501.171</w:t>
      </w:r>
      <w:r>
        <w:t xml:space="preserve"> </w:t>
      </w:r>
      <w:r>
        <w:t xml:space="preserve">(within 30 days), and other applicable laws.</w:t>
      </w:r>
    </w:p>
    <w:p>
      <w:r>
        <w:pict>
          <v:rect style="width:0;height:1.5pt" o:hralign="center" o:hrstd="t" o:hr="t"/>
        </w:pict>
      </w:r>
    </w:p>
    <w:bookmarkEnd w:id="48"/>
    <w:bookmarkStart w:id="49" w:name="international-transfers"/>
    <w:p>
      <w:pPr>
        <w:pStyle w:val="Heading2"/>
      </w:pPr>
      <w:r>
        <w:t xml:space="preserve">12. International Transfers</w:t>
      </w:r>
    </w:p>
    <w:p>
      <w:pPr>
        <w:pStyle w:val="FirstParagraph"/>
      </w:pPr>
      <w:r>
        <w:t xml:space="preserve">PureTask operates from the United States. If you access the Platform from outside the U.S., your information will be transferred to and processed in the U.S. Where required, we rely on appropriate safeguards (such as</w:t>
      </w:r>
      <w:r>
        <w:t xml:space="preserve"> </w:t>
      </w:r>
      <w:r>
        <w:rPr>
          <w:bCs/>
          <w:b/>
        </w:rPr>
        <w:t xml:space="preserve">Standard Contractual Clauses</w:t>
      </w:r>
      <w:r>
        <w:t xml:space="preserve">) for international transfers.</w:t>
      </w:r>
    </w:p>
    <w:p>
      <w:r>
        <w:pict>
          <v:rect style="width:0;height:1.5pt" o:hralign="center" o:hrstd="t" o:hr="t"/>
        </w:pict>
      </w:r>
    </w:p>
    <w:bookmarkEnd w:id="49"/>
    <w:bookmarkStart w:id="50" w:name="children"/>
    <w:p>
      <w:pPr>
        <w:pStyle w:val="Heading2"/>
      </w:pPr>
      <w:r>
        <w:t xml:space="preserve">13. Children</w:t>
      </w:r>
    </w:p>
    <w:p>
      <w:pPr>
        <w:pStyle w:val="FirstParagraph"/>
      </w:pPr>
      <w:r>
        <w:t xml:space="preserve">The Platform is not intended for individuals under 18. We do not knowingly collect information from anyone under 18. If you believe a minor has provided information, contact</w:t>
      </w:r>
      <w:r>
        <w:t xml:space="preserve"> </w:t>
      </w:r>
      <w:r>
        <w:rPr>
          <w:bCs/>
          <w:b/>
        </w:rPr>
        <w:t xml:space="preserve">otherpuretask@gmail.com</w:t>
      </w:r>
      <w:r>
        <w:t xml:space="preserve"> </w:t>
      </w:r>
      <w:r>
        <w:t xml:space="preserve">and we will delete it.</w:t>
      </w:r>
      <w:r>
        <w:t xml:space="preserve"> </w:t>
      </w:r>
      <w:r>
        <w:rPr>
          <w:bCs/>
          <w:b/>
        </w:rPr>
        <w:t xml:space="preserve">Cleaners may, in the ordinary course of their work, see children at Client properties; this is not</w:t>
      </w:r>
      <w:r>
        <w:rPr>
          <w:bCs/>
          <w:b/>
        </w:rPr>
        <w:t xml:space="preserve"> </w:t>
      </w:r>
      <w:r>
        <w:rPr>
          <w:bCs/>
          <w:b/>
        </w:rPr>
        <w:t xml:space="preserve">“</w:t>
      </w:r>
      <w:r>
        <w:rPr>
          <w:bCs/>
          <w:b/>
        </w:rPr>
        <w:t xml:space="preserve">collection</w:t>
      </w:r>
      <w:r>
        <w:rPr>
          <w:bCs/>
          <w:b/>
        </w:rPr>
        <w:t xml:space="preserve">”</w:t>
      </w:r>
      <w:r>
        <w:rPr>
          <w:bCs/>
          <w:b/>
        </w:rPr>
        <w:t xml:space="preserve"> </w:t>
      </w:r>
      <w:r>
        <w:rPr>
          <w:bCs/>
          <w:b/>
        </w:rPr>
        <w:t xml:space="preserve">of children’s personal information, but Cleaners are bound by confidentiality obligations regarding all property occupants.</w:t>
      </w:r>
    </w:p>
    <w:p>
      <w:r>
        <w:pict>
          <v:rect style="width:0;height:1.5pt" o:hralign="center" o:hrstd="t" o:hr="t"/>
        </w:pict>
      </w:r>
    </w:p>
    <w:bookmarkEnd w:id="50"/>
    <w:bookmarkStart w:id="51" w:name="third-party-sites-and-services"/>
    <w:p>
      <w:pPr>
        <w:pStyle w:val="Heading2"/>
      </w:pPr>
      <w:r>
        <w:t xml:space="preserve">14. Third-Party Sites and Services</w:t>
      </w:r>
    </w:p>
    <w:p>
      <w:pPr>
        <w:pStyle w:val="FirstParagraph"/>
      </w:pPr>
      <w:r>
        <w:t xml:space="preserve">Our Platform may link to third-party sites. We are not responsible for their privacy practices. Review their policies separately.</w:t>
      </w:r>
    </w:p>
    <w:p>
      <w:r>
        <w:pict>
          <v:rect style="width:0;height:1.5pt" o:hralign="center" o:hrstd="t" o:hr="t"/>
        </w:pict>
      </w:r>
    </w:p>
    <w:bookmarkEnd w:id="51"/>
    <w:bookmarkStart w:id="52" w:name="notice-of-financial-incentives"/>
    <w:p>
      <w:pPr>
        <w:pStyle w:val="Heading2"/>
      </w:pPr>
      <w:r>
        <w:t xml:space="preserve">15. Notice of Financial Incentives</w:t>
      </w:r>
    </w:p>
    <w:p>
      <w:pPr>
        <w:pStyle w:val="FirstParagraph"/>
      </w:pPr>
      <w:r>
        <w:t xml:space="preserve">PureTask may offer</w:t>
      </w:r>
      <w:r>
        <w:t xml:space="preserve"> </w:t>
      </w:r>
      <w:r>
        <w:rPr>
          <w:bCs/>
          <w:b/>
        </w:rPr>
        <w:t xml:space="preserve">referral credits, promotional discounts, or loyalty rewards</w:t>
      </w:r>
      <w:r>
        <w:t xml:space="preserve">. Participation is voluntary.</w:t>
      </w:r>
    </w:p>
    <w:p>
      <w:pPr>
        <w:pStyle w:val="BodyText"/>
      </w:pPr>
      <w:r>
        <w:t xml:space="preserve">For any specific incentive program, we disclose:</w:t>
      </w:r>
    </w:p>
    <w:p>
      <w:pPr>
        <w:numPr>
          <w:ilvl w:val="0"/>
          <w:numId w:val="1009"/>
        </w:numPr>
        <w:pStyle w:val="Compact"/>
      </w:pPr>
      <w:r>
        <w:rPr>
          <w:bCs/>
          <w:b/>
        </w:rPr>
        <w:t xml:space="preserve">Material terms</w:t>
      </w:r>
      <w:r>
        <w:t xml:space="preserve"> </w:t>
      </w:r>
      <w:r>
        <w:t xml:space="preserve">of the program;</w:t>
      </w:r>
    </w:p>
    <w:p>
      <w:pPr>
        <w:numPr>
          <w:ilvl w:val="0"/>
          <w:numId w:val="1009"/>
        </w:numPr>
        <w:pStyle w:val="Compact"/>
      </w:pPr>
      <w:r>
        <w:rPr>
          <w:bCs/>
          <w:b/>
        </w:rPr>
        <w:t xml:space="preserve">Categories of personal information</w:t>
      </w:r>
      <w:r>
        <w:t xml:space="preserve"> </w:t>
      </w:r>
      <w:r>
        <w:t xml:space="preserve">collected;</w:t>
      </w:r>
    </w:p>
    <w:p>
      <w:pPr>
        <w:numPr>
          <w:ilvl w:val="0"/>
          <w:numId w:val="1009"/>
        </w:numPr>
        <w:pStyle w:val="Compact"/>
      </w:pPr>
      <w:r>
        <w:t xml:space="preserve">A</w:t>
      </w:r>
      <w:r>
        <w:t xml:space="preserve"> </w:t>
      </w:r>
      <w:r>
        <w:rPr>
          <w:bCs/>
          <w:b/>
        </w:rPr>
        <w:t xml:space="preserve">good-faith estimate of the value</w:t>
      </w:r>
      <w:r>
        <w:t xml:space="preserve"> </w:t>
      </w:r>
      <w:r>
        <w:t xml:space="preserve">of your data to PureTask (calculated based on average expected lifetime gross profit per User attributable to the program);</w:t>
      </w:r>
    </w:p>
    <w:p>
      <w:pPr>
        <w:numPr>
          <w:ilvl w:val="0"/>
          <w:numId w:val="1009"/>
        </w:numPr>
        <w:pStyle w:val="Compact"/>
      </w:pPr>
      <w:r>
        <w:t xml:space="preserve">The</w:t>
      </w:r>
      <w:r>
        <w:t xml:space="preserve"> </w:t>
      </w:r>
      <w:r>
        <w:rPr>
          <w:bCs/>
          <w:b/>
        </w:rPr>
        <w:t xml:space="preserve">method of calculation</w:t>
      </w:r>
      <w:r>
        <w:t xml:space="preserve">;</w:t>
      </w:r>
    </w:p>
    <w:p>
      <w:pPr>
        <w:numPr>
          <w:ilvl w:val="0"/>
          <w:numId w:val="1009"/>
        </w:numPr>
        <w:pStyle w:val="Compact"/>
      </w:pPr>
      <w:r>
        <w:rPr>
          <w:bCs/>
          <w:b/>
        </w:rPr>
        <w:t xml:space="preserve">How to opt out</w:t>
      </w:r>
      <w:r>
        <w:t xml:space="preserve">.</w:t>
      </w:r>
    </w:p>
    <w:p>
      <w:pPr>
        <w:pStyle w:val="FirstParagraph"/>
      </w:pPr>
      <w:r>
        <w:t xml:space="preserve">Programs are designed to comply with</w:t>
      </w:r>
      <w:r>
        <w:t xml:space="preserve"> </w:t>
      </w:r>
      <w:r>
        <w:rPr>
          <w:bCs/>
          <w:b/>
        </w:rPr>
        <w:t xml:space="preserve">Cal. Civ. Code § 1798.125(b)</w:t>
      </w:r>
      <w:r>
        <w:t xml:space="preserve">.</w:t>
      </w:r>
    </w:p>
    <w:p>
      <w:r>
        <w:pict>
          <v:rect style="width:0;height:1.5pt" o:hralign="center" o:hrstd="t" o:hr="t"/>
        </w:pict>
      </w:r>
    </w:p>
    <w:bookmarkEnd w:id="52"/>
    <w:bookmarkStart w:id="53" w:name="sms-and-phone-communications"/>
    <w:p>
      <w:pPr>
        <w:pStyle w:val="Heading2"/>
      </w:pPr>
      <w:r>
        <w:t xml:space="preserve">16. SMS and Phone Communications</w:t>
      </w:r>
    </w:p>
    <w:p>
      <w:pPr>
        <w:pStyle w:val="FirstParagraph"/>
      </w:pPr>
      <w:r>
        <w:t xml:space="preserve">If you provide your phone number and opt in, you consent to receive transactional and (where opted in separately) marketing messages.</w:t>
      </w:r>
      <w:r>
        <w:t xml:space="preserve"> </w:t>
      </w:r>
      <w:r>
        <w:rPr>
          <w:bCs/>
          <w:b/>
        </w:rPr>
        <w:t xml:space="preserve">Message and data rates may apply.</w:t>
      </w:r>
      <w:r>
        <w:t xml:space="preserve"> </w:t>
      </w:r>
      <w:r>
        <w:t xml:space="preserve">Reply STOP / HELP. See the separate</w:t>
      </w:r>
      <w:r>
        <w:t xml:space="preserve"> </w:t>
      </w:r>
      <w:r>
        <w:rPr>
          <w:bCs/>
          <w:b/>
        </w:rPr>
        <w:t xml:space="preserve">SMS/TCPA Consent Disclosure</w:t>
      </w:r>
      <w:r>
        <w:t xml:space="preserve">.</w:t>
      </w:r>
    </w:p>
    <w:p>
      <w:r>
        <w:pict>
          <v:rect style="width:0;height:1.5pt" o:hralign="center" o:hrstd="t" o:hr="t"/>
        </w:pict>
      </w:r>
    </w:p>
    <w:bookmarkEnd w:id="53"/>
    <w:bookmarkStart w:id="54" w:name="changes-to-this-policy"/>
    <w:p>
      <w:pPr>
        <w:pStyle w:val="Heading2"/>
      </w:pPr>
      <w:r>
        <w:t xml:space="preserve">17. Changes to This Policy</w:t>
      </w:r>
    </w:p>
    <w:p>
      <w:pPr>
        <w:pStyle w:val="FirstParagraph"/>
      </w:pPr>
      <w:r>
        <w:t xml:space="preserve">We may update this Policy. Material changes will be notified via email or in-app notice at least</w:t>
      </w:r>
      <w:r>
        <w:t xml:space="preserve"> </w:t>
      </w:r>
      <w:r>
        <w:rPr>
          <w:bCs/>
          <w:b/>
        </w:rPr>
        <w:t xml:space="preserve">30 days</w:t>
      </w:r>
      <w:r>
        <w:t xml:space="preserve"> </w:t>
      </w:r>
      <w:r>
        <w:t xml:space="preserve">before the effective date. The</w:t>
      </w:r>
      <w:r>
        <w:t xml:space="preserve"> </w:t>
      </w:r>
      <w:r>
        <w:t xml:space="preserve">“</w:t>
      </w:r>
      <w:r>
        <w:t xml:space="preserve">Last Updated</w:t>
      </w:r>
      <w:r>
        <w:t xml:space="preserve">”</w:t>
      </w:r>
      <w:r>
        <w:t xml:space="preserve"> </w:t>
      </w:r>
      <w:r>
        <w:t xml:space="preserve">date reflects the most recent revision.</w:t>
      </w:r>
    </w:p>
    <w:p>
      <w:r>
        <w:pict>
          <v:rect style="width:0;height:1.5pt" o:hralign="center" o:hrstd="t" o:hr="t"/>
        </w:pict>
      </w:r>
    </w:p>
    <w:bookmarkEnd w:id="54"/>
    <w:bookmarkStart w:id="55" w:name="contact-us"/>
    <w:p>
      <w:pPr>
        <w:pStyle w:val="Heading2"/>
      </w:pPr>
      <w:r>
        <w:t xml:space="preserve">18. Contact Us</w:t>
      </w:r>
    </w:p>
    <w:p>
      <w:pPr>
        <w:pStyle w:val="FirstParagraph"/>
      </w:pPr>
      <w:r>
        <w:rPr>
          <w:bCs/>
          <w:b/>
        </w:rPr>
        <w:t xml:space="preserve">PureTask LLC</w:t>
      </w:r>
      <w:r>
        <w:t xml:space="preserve"> </w:t>
      </w:r>
      <w:r>
        <w:t xml:space="preserve">Sacramento, California</w:t>
      </w:r>
      <w:r>
        <w:t xml:space="preserve"> </w:t>
      </w:r>
      <w:r>
        <w:rPr>
          <w:bCs/>
          <w:b/>
        </w:rPr>
        <w:t xml:space="preserve">otherpuretask@gmail.com</w:t>
      </w:r>
    </w:p>
    <w:p>
      <w:r>
        <w:pict>
          <v:rect style="width:0;height:1.5pt" o:hralign="center" o:hrstd="t" o:hr="t"/>
        </w:pict>
      </w:r>
    </w:p>
    <w:p>
      <w:pPr>
        <w:pStyle w:val="FirstParagraph"/>
      </w:pPr>
      <w:r>
        <w:rPr>
          <w:iCs/>
          <w:i/>
        </w:rPr>
        <w:t xml:space="preserve">This document is a general template. It is not legal advice. Please have a licensed California attorney review and tailor it before relying on it.</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legal/cookies" TargetMode="External" /></Relationships>
</file>

<file path=word/_rels/footnotes.xml.rels><?xml version="1.0" encoding="UTF-8"?><Relationships xmlns="http://schemas.openxmlformats.org/package/2006/relationships"><Relationship Type="http://schemas.openxmlformats.org/officeDocument/2006/relationships/hyperlink" Id="rId23" Target="/legal/cook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2026-05-17T15:21:06Z</dcterms:created>
  <dcterms:modified xsi:type="dcterms:W3CDTF">2026-05-17T15:21:06Z</dcterms:modified>
</cp:coreProperties>
</file>

<file path=docProps/custom.xml><?xml version="1.0" encoding="utf-8"?>
<Properties xmlns="http://schemas.openxmlformats.org/officeDocument/2006/custom-properties" xmlns:vt="http://schemas.openxmlformats.org/officeDocument/2006/docPropsVTypes"/>
</file>