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puretask-adverse-action-notice-template"/>
    <w:p>
      <w:pPr>
        <w:pStyle w:val="Heading1"/>
      </w:pPr>
      <w:r>
        <w:t xml:space="preserve">PureTask — Adverse Action Notice (Template)</w:t>
      </w:r>
    </w:p>
    <w:p>
      <w:pPr>
        <w:pStyle w:val="FirstParagraph"/>
      </w:pPr>
      <w:r>
        <w:rPr>
          <w:bCs/>
          <w:b/>
        </w:rPr>
        <w:t xml:space="preserve">Document 07B — operational template, not part of applicant signup flow</w:t>
      </w:r>
    </w:p>
    <w:p>
      <w:r>
        <w:pict>
          <v:rect style="width:0;height:1.5pt" o:hralign="center" o:hrstd="t" o:hr="t"/>
        </w:pict>
      </w:r>
    </w:p>
    <w:p>
      <w:pPr>
        <w:pStyle w:val="BlockText"/>
      </w:pPr>
      <w:r>
        <w:rPr>
          <w:bCs/>
          <w:b/>
        </w:rPr>
        <w:t xml:space="preserve">HOW TO USE THIS TEMPLATE</w:t>
      </w:r>
    </w:p>
    <w:p>
      <w:pPr>
        <w:pStyle w:val="BlockText"/>
      </w:pPr>
      <w:r>
        <w:t xml:space="preserve">This is the</w:t>
      </w:r>
      <w:r>
        <w:t xml:space="preserve"> </w:t>
      </w:r>
      <w:r>
        <w:rPr>
          <w:bCs/>
          <w:b/>
        </w:rPr>
        <w:t xml:space="preserve">final Adverse Action Notice</w:t>
      </w:r>
      <w:r>
        <w:t xml:space="preserve"> </w:t>
      </w:r>
      <w:r>
        <w:t xml:space="preserve">required by the federal</w:t>
      </w:r>
      <w:r>
        <w:t xml:space="preserve"> </w:t>
      </w:r>
      <w:r>
        <w:rPr>
          <w:bCs/>
          <w:b/>
        </w:rPr>
        <w:t xml:space="preserve">Fair Credit Reporting Act (FCRA), 15 U.S.C. § 1681m</w:t>
      </w:r>
      <w:r>
        <w:t xml:space="preserve">, the</w:t>
      </w:r>
      <w:r>
        <w:t xml:space="preserve"> </w:t>
      </w:r>
      <w:r>
        <w:rPr>
          <w:bCs/>
          <w:b/>
        </w:rPr>
        <w:t xml:space="preserve">California Investigative Consumer Reporting Agencies Act, Cal. Civ. Code § 1786.40</w:t>
      </w:r>
      <w:r>
        <w:t xml:space="preserve">, and analogous Texas and Florida law.</w:t>
      </w:r>
    </w:p>
    <w:p>
      <w:pPr>
        <w:pStyle w:val="BlockText"/>
      </w:pPr>
      <w:r>
        <w:t xml:space="preserve">Send this notice</w:t>
      </w:r>
      <w:r>
        <w:t xml:space="preserve"> </w:t>
      </w:r>
      <w:r>
        <w:rPr>
          <w:bCs/>
          <w:b/>
        </w:rPr>
        <w:t xml:space="preserve">after</w:t>
      </w:r>
      <w:r>
        <w:t xml:space="preserve"> </w:t>
      </w:r>
      <w:r>
        <w:t xml:space="preserve">the Pre-Adverse Action Notice (Doc 07A) response period has expired, and</w:t>
      </w:r>
      <w:r>
        <w:t xml:space="preserve"> </w:t>
      </w:r>
      <w:r>
        <w:rPr>
          <w:bCs/>
          <w:b/>
        </w:rPr>
        <w:t xml:space="preserve">after</w:t>
      </w:r>
      <w:r>
        <w:t xml:space="preserve"> </w:t>
      </w:r>
      <w:r>
        <w:t xml:space="preserve">PureTask has reviewed any applicant response and made a final decision to take adverse action.</w:t>
      </w:r>
    </w:p>
    <w:p>
      <w:pPr>
        <w:pStyle w:val="BlockText"/>
      </w:pPr>
      <w:r>
        <w:rPr>
          <w:bCs/>
          <w:b/>
        </w:rPr>
        <w:t xml:space="preserve">Required content</w:t>
      </w:r>
      <w:r>
        <w:t xml:space="preserve"> </w:t>
      </w:r>
      <w:r>
        <w:t xml:space="preserve">under federal FCRA § 1681m(a):</w:t>
      </w:r>
      <w:r>
        <w:t xml:space="preserve"> </w:t>
      </w:r>
      <w:r>
        <w:t xml:space="preserve">1. The name, address, and telephone number of the consumer reporting agency;</w:t>
      </w:r>
      <w:r>
        <w:t xml:space="preserve"> </w:t>
      </w:r>
      <w:r>
        <w:t xml:space="preserve">2. A statement that the consumer reporting agency did not make the decision and is unable to provide specific reasons for it;</w:t>
      </w:r>
      <w:r>
        <w:t xml:space="preserve"> </w:t>
      </w:r>
      <w:r>
        <w:t xml:space="preserve">3. Notice of the right to obtain a</w:t>
      </w:r>
      <w:r>
        <w:t xml:space="preserve"> </w:t>
      </w:r>
      <w:r>
        <w:rPr>
          <w:bCs/>
          <w:b/>
        </w:rPr>
        <w:t xml:space="preserve">free copy</w:t>
      </w:r>
      <w:r>
        <w:t xml:space="preserve"> </w:t>
      </w:r>
      <w:r>
        <w:t xml:space="preserve">of the report from the consumer reporting agency within</w:t>
      </w:r>
      <w:r>
        <w:t xml:space="preserve"> </w:t>
      </w:r>
      <w:r>
        <w:rPr>
          <w:bCs/>
          <w:b/>
        </w:rPr>
        <w:t xml:space="preserve">60 days</w:t>
      </w:r>
      <w:r>
        <w:t xml:space="preserve">;</w:t>
      </w:r>
      <w:r>
        <w:t xml:space="preserve"> </w:t>
      </w:r>
      <w:r>
        <w:t xml:space="preserve">4. Notice of the right to</w:t>
      </w:r>
      <w:r>
        <w:t xml:space="preserve"> </w:t>
      </w:r>
      <w:r>
        <w:rPr>
          <w:bCs/>
          <w:b/>
        </w:rPr>
        <w:t xml:space="preserve">dispute</w:t>
      </w:r>
      <w:r>
        <w:t xml:space="preserve"> </w:t>
      </w:r>
      <w:r>
        <w:t xml:space="preserve">the accuracy or completeness of the report with the consumer reporting agency.</w:t>
      </w:r>
    </w:p>
    <w:p>
      <w:pPr>
        <w:pStyle w:val="BlockText"/>
      </w:pPr>
      <w:r>
        <w:rPr>
          <w:bCs/>
          <w:b/>
        </w:rPr>
        <w:t xml:space="preserve">Delivery</w:t>
      </w:r>
      <w:r>
        <w:t xml:space="preserve">: Send by email to the address on file with delivery / read receipt. Retain proof of sending in the applicant’s file for at least 5 years.</w:t>
      </w:r>
    </w:p>
    <w:p>
      <w:pPr>
        <w:pStyle w:val="BlockText"/>
      </w:pPr>
      <w:r>
        <w:rPr>
          <w:bCs/>
          <w:b/>
        </w:rPr>
        <w:t xml:space="preserve">California applicants</w:t>
      </w:r>
      <w:r>
        <w:t xml:space="preserve">: Include the California-specific rights statement in Section 4.</w:t>
      </w:r>
    </w:p>
    <w:p>
      <w:r>
        <w:pict>
          <v:rect style="width:0;height:1.5pt" o:hralign="center" o:hrstd="t" o:hr="t"/>
        </w:pict>
      </w:r>
    </w:p>
    <w:bookmarkStart w:id="27" w:name="letterhead"/>
    <w:p>
      <w:pPr>
        <w:pStyle w:val="Heading2"/>
      </w:pPr>
      <w:r>
        <w:t xml:space="preserve">Letterhead</w:t>
      </w:r>
    </w:p>
    <w:p>
      <w:pPr>
        <w:pStyle w:val="BlockText"/>
      </w:pPr>
      <w:r>
        <w:rPr>
          <w:bCs/>
          <w:b/>
        </w:rPr>
        <w:t xml:space="preserve">PureTask LLC</w:t>
      </w:r>
      <w:r>
        <w:t xml:space="preserve"> </w:t>
      </w:r>
      <w:r>
        <w:t xml:space="preserve">[STREET ADDRESS]</w:t>
      </w:r>
      <w:r>
        <w:t xml:space="preserve"> </w:t>
      </w:r>
      <w:r>
        <w:t xml:space="preserve">Sacramento, California [ZIP]</w:t>
      </w:r>
      <w:r>
        <w:t xml:space="preserve"> </w:t>
      </w:r>
      <w:r>
        <w:t xml:space="preserve">Email: otherpuretask@gmail.com</w:t>
      </w:r>
    </w:p>
    <w:p>
      <w:pPr>
        <w:pStyle w:val="FirstParagraph"/>
      </w:pPr>
      <w:r>
        <w:t xml:space="preserve">[DATE]</w:t>
      </w:r>
    </w:p>
    <w:p>
      <w:pPr>
        <w:pStyle w:val="BodyText"/>
      </w:pPr>
      <w:r>
        <w:t xml:space="preserve">[APPLICANT NAME]</w:t>
      </w:r>
      <w:r>
        <w:t xml:space="preserve"> </w:t>
      </w:r>
      <w:r>
        <w:t xml:space="preserve">[APPLICANT ADDRESS / EMAIL]</w:t>
      </w:r>
    </w:p>
    <w:p>
      <w:pPr>
        <w:pStyle w:val="BodyText"/>
      </w:pPr>
      <w:r>
        <w:rPr>
          <w:bCs/>
          <w:b/>
        </w:rPr>
        <w:t xml:space="preserve">Re: Adverse Action Notice Regarding Your PureTask Pro Application</w:t>
      </w:r>
    </w:p>
    <w:p>
      <w:pPr>
        <w:pStyle w:val="BodyText"/>
      </w:pPr>
      <w:r>
        <w:t xml:space="preserve">Dear [APPLICANT NAME]:</w:t>
      </w:r>
    </w:p>
    <w:p>
      <w:pPr>
        <w:pStyle w:val="BodyText"/>
      </w:pPr>
      <w:r>
        <w:t xml:space="preserve">We previously sent you a</w:t>
      </w:r>
      <w:r>
        <w:t xml:space="preserve"> </w:t>
      </w:r>
      <w:r>
        <w:rPr>
          <w:bCs/>
          <w:b/>
        </w:rPr>
        <w:t xml:space="preserve">Pre-Adverse Action Notice</w:t>
      </w:r>
      <w:r>
        <w:t xml:space="preserve"> </w:t>
      </w:r>
      <w:r>
        <w:t xml:space="preserve">on [DATE OF PRE-ADVERSE NOTICE] regarding information in a consumer report we obtained about you. We have now completed our review, including any response and supporting documentation you provided.</w:t>
      </w:r>
    </w:p>
    <w:p>
      <w:pPr>
        <w:pStyle w:val="BodyText"/>
      </w:pPr>
      <w:r>
        <w:t xml:space="preserve">After careful consideration,</w:t>
      </w:r>
      <w:r>
        <w:t xml:space="preserve"> </w:t>
      </w:r>
      <w:r>
        <w:rPr>
          <w:bCs/>
          <w:b/>
        </w:rPr>
        <w:t xml:space="preserve">we have decided to take the following adverse action</w:t>
      </w:r>
      <w:r>
        <w:t xml:space="preserve"> </w:t>
      </w:r>
      <w:r>
        <w:t xml:space="preserve">based, in whole or in part, on information contained in that consumer report:</w:t>
      </w:r>
    </w:p>
    <w:p>
      <w:pPr>
        <w:pStyle w:val="BlockText"/>
      </w:pPr>
      <w:r>
        <w:t xml:space="preserve">☐</w:t>
      </w:r>
      <w:r>
        <w:t xml:space="preserve"> </w:t>
      </w:r>
      <w:r>
        <w:rPr>
          <w:bCs/>
          <w:b/>
        </w:rPr>
        <w:t xml:space="preserve">Decline your application</w:t>
      </w:r>
      <w:r>
        <w:t xml:space="preserve"> </w:t>
      </w:r>
      <w:r>
        <w:t xml:space="preserve">to use the PureTask Platform as a service professional.</w:t>
      </w:r>
      <w:r>
        <w:t xml:space="preserve"> </w:t>
      </w:r>
      <w:r>
        <w:t xml:space="preserve">☐</w:t>
      </w:r>
      <w:r>
        <w:t xml:space="preserve"> </w:t>
      </w:r>
      <w:r>
        <w:rPr>
          <w:bCs/>
          <w:b/>
        </w:rPr>
        <w:t xml:space="preserve">Suspend your existing Pro account</w:t>
      </w:r>
      <w:r>
        <w:t xml:space="preserve"> </w:t>
      </w:r>
      <w:r>
        <w:t xml:space="preserve">on the PureTask Platform.</w:t>
      </w:r>
      <w:r>
        <w:t xml:space="preserve"> </w:t>
      </w:r>
      <w:r>
        <w:t xml:space="preserve">☐</w:t>
      </w:r>
      <w:r>
        <w:t xml:space="preserve"> </w:t>
      </w:r>
      <w:r>
        <w:rPr>
          <w:bCs/>
          <w:b/>
        </w:rPr>
        <w:t xml:space="preserve">Deactivate your existing Pro account</w:t>
      </w:r>
      <w:r>
        <w:t xml:space="preserve"> </w:t>
      </w:r>
      <w:r>
        <w:t xml:space="preserve">on the PureTask Platform.</w:t>
      </w:r>
      <w:r>
        <w:t xml:space="preserve"> </w:t>
      </w:r>
      <w:r>
        <w:t xml:space="preserve">☐</w:t>
      </w:r>
      <w:r>
        <w:t xml:space="preserve"> </w:t>
      </w:r>
      <w:r>
        <w:rPr>
          <w:bCs/>
          <w:b/>
        </w:rPr>
        <w:t xml:space="preserve">Other adverse action:</w:t>
      </w:r>
      <w:r>
        <w:t xml:space="preserve"> </w:t>
      </w:r>
      <w:r>
        <w:t xml:space="preserve">[DESCRIBE]</w:t>
      </w:r>
    </w:p>
    <w:p>
      <w:pPr>
        <w:pStyle w:val="FirstParagraph"/>
      </w:pPr>
      <w:r>
        <w:t xml:space="preserve">This notice is provided to you in accordance with the federal Fair Credit Reporting Act (FCRA), 15 U.S.C. § 1681m, the California Investigative Consumer Reporting Agencies Act, Cal. Civ. Code § 1786.40, and applicable state law.</w:t>
      </w:r>
    </w:p>
    <w:p>
      <w:r>
        <w:pict>
          <v:rect style="width:0;height:1.5pt" o:hralign="center" o:hrstd="t" o:hr="t"/>
        </w:pict>
      </w:r>
    </w:p>
    <w:bookmarkStart w:id="20" w:name="the-consumer-reporting-agency"/>
    <w:p>
      <w:pPr>
        <w:pStyle w:val="Heading3"/>
      </w:pPr>
      <w:r>
        <w:t xml:space="preserve">1. The Consumer Reporting Agency</w:t>
      </w:r>
    </w:p>
    <w:p>
      <w:pPr>
        <w:pStyle w:val="FirstParagraph"/>
      </w:pPr>
      <w:r>
        <w:t xml:space="preserve">The consumer reporting agency that provided the report is:</w:t>
      </w:r>
    </w:p>
    <w:p>
      <w:pPr>
        <w:pStyle w:val="BlockText"/>
      </w:pPr>
      <w:r>
        <w:rPr>
          <w:bCs/>
          <w:b/>
        </w:rPr>
        <w:t xml:space="preserve">[CONSUMER REPORTING AGENCY NAME]</w:t>
      </w:r>
      <w:r>
        <w:t xml:space="preserve"> </w:t>
      </w:r>
      <w:r>
        <w:t xml:space="preserve">[STREET ADDRESS]</w:t>
      </w:r>
      <w:r>
        <w:t xml:space="preserve"> </w:t>
      </w:r>
      <w:r>
        <w:t xml:space="preserve">[CITY, STATE, ZIP]</w:t>
      </w:r>
      <w:r>
        <w:t xml:space="preserve"> </w:t>
      </w:r>
      <w:r>
        <w:t xml:space="preserve">Phone: [PHONE NUMBER]</w:t>
      </w:r>
      <w:r>
        <w:t xml:space="preserve"> </w:t>
      </w:r>
      <w:r>
        <w:t xml:space="preserve">Toll-free phone: [IF APPLICABLE]</w:t>
      </w:r>
      <w:r>
        <w:t xml:space="preserve"> </w:t>
      </w:r>
      <w:r>
        <w:t xml:space="preserve">Website: [WEBSITE]</w:t>
      </w:r>
    </w:p>
    <w:p>
      <w:pPr>
        <w:pStyle w:val="FirstParagraph"/>
      </w:pPr>
      <w:r>
        <w:rPr>
          <w:bCs/>
          <w:b/>
        </w:rPr>
        <w:t xml:space="preserve">The consumer reporting agency did not make the decision</w:t>
      </w:r>
      <w:r>
        <w:t xml:space="preserve"> </w:t>
      </w:r>
      <w:r>
        <w:t xml:space="preserve">to take adverse action and is</w:t>
      </w:r>
      <w:r>
        <w:t xml:space="preserve"> </w:t>
      </w:r>
      <w:r>
        <w:rPr>
          <w:bCs/>
          <w:b/>
        </w:rPr>
        <w:t xml:space="preserve">unable to provide you with the specific reasons</w:t>
      </w:r>
      <w:r>
        <w:t xml:space="preserve"> </w:t>
      </w:r>
      <w:r>
        <w:t xml:space="preserve">why the decision was made. The decision was made by PureTask LLC, based in part on the information in the consumer report.</w:t>
      </w:r>
    </w:p>
    <w:p>
      <w:r>
        <w:pict>
          <v:rect style="width:0;height:1.5pt" o:hralign="center" o:hrstd="t" o:hr="t"/>
        </w:pict>
      </w:r>
    </w:p>
    <w:bookmarkEnd w:id="20"/>
    <w:bookmarkStart w:id="21" w:name="your-right-to-a-free-copy-of-the-report"/>
    <w:p>
      <w:pPr>
        <w:pStyle w:val="Heading3"/>
      </w:pPr>
      <w:r>
        <w:t xml:space="preserve">2. Your Right to a Free Copy of the Report</w:t>
      </w:r>
    </w:p>
    <w:p>
      <w:pPr>
        <w:pStyle w:val="FirstParagraph"/>
      </w:pPr>
      <w:r>
        <w:t xml:space="preserve">Under federal law, you have the right to obtain a</w:t>
      </w:r>
      <w:r>
        <w:t xml:space="preserve"> </w:t>
      </w:r>
      <w:r>
        <w:rPr>
          <w:bCs/>
          <w:b/>
        </w:rPr>
        <w:t xml:space="preserve">free copy</w:t>
      </w:r>
      <w:r>
        <w:t xml:space="preserve"> </w:t>
      </w:r>
      <w:r>
        <w:t xml:space="preserve">of the consumer report from the consumer reporting agency named above if you request it</w:t>
      </w:r>
      <w:r>
        <w:t xml:space="preserve"> </w:t>
      </w:r>
      <w:r>
        <w:rPr>
          <w:bCs/>
          <w:b/>
        </w:rPr>
        <w:t xml:space="preserve">within 60 days</w:t>
      </w:r>
      <w:r>
        <w:t xml:space="preserve"> </w:t>
      </w:r>
      <w:r>
        <w:t xml:space="preserve">of receiving this notice.</w:t>
      </w:r>
    </w:p>
    <w:p>
      <w:pPr>
        <w:pStyle w:val="BodyText"/>
      </w:pPr>
      <w:r>
        <w:t xml:space="preserve">To request the report, contact the consumer reporting agency directly using the phone number or website above. You will need to provide identifying information to verify your identity.</w:t>
      </w:r>
    </w:p>
    <w:p>
      <w:r>
        <w:pict>
          <v:rect style="width:0;height:1.5pt" o:hralign="center" o:hrstd="t" o:hr="t"/>
        </w:pict>
      </w:r>
    </w:p>
    <w:bookmarkEnd w:id="21"/>
    <w:bookmarkStart w:id="22" w:name="X0769c130abb86633bf39a3860d474427a2b8552"/>
    <w:p>
      <w:pPr>
        <w:pStyle w:val="Heading3"/>
      </w:pPr>
      <w:r>
        <w:t xml:space="preserve">3. Your Right to Dispute the Accuracy of the Report</w:t>
      </w:r>
    </w:p>
    <w:p>
      <w:pPr>
        <w:pStyle w:val="FirstParagraph"/>
      </w:pPr>
      <w:r>
        <w:t xml:space="preserve">You have the right to</w:t>
      </w:r>
      <w:r>
        <w:t xml:space="preserve"> </w:t>
      </w:r>
      <w:r>
        <w:rPr>
          <w:bCs/>
          <w:b/>
        </w:rPr>
        <w:t xml:space="preserve">dispute</w:t>
      </w:r>
      <w:r>
        <w:t xml:space="preserve"> </w:t>
      </w:r>
      <w:r>
        <w:t xml:space="preserve">the accuracy or completeness of any information in the consumer report, directly with the consumer reporting agency. If you dispute the information, the consumer reporting agency must investigate (usually within 30 days) and correct or delete any information that is inaccurate, incomplete, or cannot be verified.</w:t>
      </w:r>
    </w:p>
    <w:p>
      <w:pPr>
        <w:pStyle w:val="BodyText"/>
      </w:pPr>
      <w:r>
        <w:t xml:space="preserve">A summary of your rights under the federal FCRA is included with this notice.</w:t>
      </w:r>
    </w:p>
    <w:p>
      <w:r>
        <w:pict>
          <v:rect style="width:0;height:1.5pt" o:hralign="center" o:hrstd="t" o:hr="t"/>
        </w:pict>
      </w:r>
    </w:p>
    <w:bookmarkEnd w:id="22"/>
    <w:bookmarkStart w:id="23" w:name="california-applicants-additional-rights"/>
    <w:p>
      <w:pPr>
        <w:pStyle w:val="Heading3"/>
      </w:pPr>
      <w:r>
        <w:t xml:space="preserve">4. California Applicants — Additional Rights</w:t>
      </w:r>
    </w:p>
    <w:p>
      <w:pPr>
        <w:pStyle w:val="FirstParagraph"/>
      </w:pPr>
      <w:r>
        <w:t xml:space="preserve">If you are a California resident, you have additional rights under California law:</w:t>
      </w:r>
    </w:p>
    <w:p>
      <w:pPr>
        <w:numPr>
          <w:ilvl w:val="0"/>
          <w:numId w:val="1001"/>
        </w:numPr>
        <w:pStyle w:val="Compact"/>
      </w:pPr>
      <w:r>
        <w:rPr>
          <w:bCs/>
          <w:b/>
        </w:rPr>
        <w:t xml:space="preserve">California Investigative Consumer Reporting Agencies Act (Cal. Civ. Code § 1786 et seq.)</w:t>
      </w:r>
      <w:r>
        <w:t xml:space="preserve">: You have the right to (a) visit the consumer reporting agency’s offices to inspect your file, (b) receive a copy of your file by certified mail, and (c) receive a summary of your file by telephone. A summary of these rights is included with this notice.</w:t>
      </w:r>
    </w:p>
    <w:p>
      <w:pPr>
        <w:numPr>
          <w:ilvl w:val="0"/>
          <w:numId w:val="1001"/>
        </w:numPr>
        <w:pStyle w:val="Compact"/>
      </w:pPr>
      <w:r>
        <w:rPr>
          <w:bCs/>
          <w:b/>
        </w:rPr>
        <w:t xml:space="preserve">California Fair Chance Act (Cal. Gov. Code § 12952)</w:t>
      </w:r>
      <w:r>
        <w:t xml:space="preserve">: If the basis for adverse action is a conviction history, you have the right to (a) request that PureTask provide you with the specific basis for the adverse decision, and (b) provide additional evidence of inaccuracy, rehabilitation, or mitigating circumstances. A request must be submitted within</w:t>
      </w:r>
      <w:r>
        <w:t xml:space="preserve"> </w:t>
      </w:r>
      <w:r>
        <w:rPr>
          <w:bCs/>
          <w:b/>
        </w:rPr>
        <w:t xml:space="preserve">5 business days</w:t>
      </w:r>
      <w:r>
        <w:t xml:space="preserve"> </w:t>
      </w:r>
      <w:r>
        <w:t xml:space="preserve">of receiving this notice to</w:t>
      </w:r>
      <w:r>
        <w:t xml:space="preserve"> </w:t>
      </w:r>
      <w:r>
        <w:rPr>
          <w:bCs/>
          <w:b/>
        </w:rPr>
        <w:t xml:space="preserve">otherpuretask@gmail.com</w:t>
      </w:r>
      <w:r>
        <w:t xml:space="preserve"> </w:t>
      </w:r>
      <w:r>
        <w:t xml:space="preserve">with the subject line</w:t>
      </w:r>
      <w:r>
        <w:t xml:space="preserve"> </w:t>
      </w:r>
      <w:r>
        <w:t xml:space="preserve">“</w:t>
      </w:r>
      <w:r>
        <w:rPr>
          <w:bCs/>
          <w:b/>
        </w:rPr>
        <w:t xml:space="preserve">Fair Chance Act Request — [Your Name]</w:t>
      </w:r>
      <w:r>
        <w:t xml:space="preserve">.</w:t>
      </w:r>
      <w:r>
        <w:t xml:space="preserve">”</w:t>
      </w:r>
      <w:r>
        <w:t xml:space="preserve"> </w:t>
      </w:r>
      <w:r>
        <w:t xml:space="preserve">PureTask will respond within 14 days.</w:t>
      </w:r>
    </w:p>
    <w:p>
      <w:pPr>
        <w:numPr>
          <w:ilvl w:val="0"/>
          <w:numId w:val="1001"/>
        </w:numPr>
        <w:pStyle w:val="Compact"/>
      </w:pPr>
      <w:r>
        <w:rPr>
          <w:bCs/>
          <w:b/>
        </w:rPr>
        <w:t xml:space="preserve">Excluded considerations</w:t>
      </w:r>
      <w:r>
        <w:t xml:space="preserve">: PureTask did not, and is prohibited from, considering: (a) non-felony marijuana-possession convictions more than two years old; (b) your off-duty cannabis use; (c) results of any non-psychoactive cannabis-metabolite test; (d) any conviction that has been sealed, expunged, dismissed, or set aside; (e) any juvenile record; (f) most arrests not leading to conviction. (Per Cal. Lab. Code §§ 432.7, 432.8; AB 2188; SB 700.)</w:t>
      </w:r>
    </w:p>
    <w:p>
      <w:r>
        <w:pict>
          <v:rect style="width:0;height:1.5pt" o:hralign="center" o:hrstd="t" o:hr="t"/>
        </w:pict>
      </w:r>
    </w:p>
    <w:bookmarkEnd w:id="23"/>
    <w:bookmarkStart w:id="24" w:name="re-application"/>
    <w:p>
      <w:pPr>
        <w:pStyle w:val="Heading3"/>
      </w:pPr>
      <w:r>
        <w:t xml:space="preserve">5. Re-Application</w:t>
      </w:r>
    </w:p>
    <w:p>
      <w:pPr>
        <w:pStyle w:val="FirstParagraph"/>
      </w:pPr>
      <w:r>
        <w:t xml:space="preserve">[ADJUST AS APPROPRIATE — examples below; choose one or write a custom paragraph]</w:t>
      </w:r>
    </w:p>
    <w:p>
      <w:pPr>
        <w:pStyle w:val="BlockText"/>
      </w:pPr>
      <w:r>
        <w:rPr>
          <w:bCs/>
          <w:b/>
        </w:rPr>
        <w:t xml:space="preserve">Option A (most cases)</w:t>
      </w:r>
      <w:r>
        <w:t xml:space="preserve">: You may reapply to use the PureTask Platform after [TIME PERIOD, e.g., 12 months] from the date of this notice, or sooner if the underlying information in the consumer report is corrected, expunged, or otherwise no longer disqualifying.</w:t>
      </w:r>
    </w:p>
    <w:p>
      <w:pPr>
        <w:pStyle w:val="BlockText"/>
      </w:pPr>
      <w:r>
        <w:rPr>
          <w:bCs/>
          <w:b/>
        </w:rPr>
        <w:t xml:space="preserve">Option B (serious / permanent disqualification)</w:t>
      </w:r>
      <w:r>
        <w:t xml:space="preserve">: Due to the nature of the information at issue, you will not be eligible to reapply to the PureTask Platform.</w:t>
      </w:r>
    </w:p>
    <w:p>
      <w:pPr>
        <w:pStyle w:val="BlockText"/>
      </w:pPr>
      <w:r>
        <w:rPr>
          <w:bCs/>
          <w:b/>
        </w:rPr>
        <w:t xml:space="preserve">Option C (correction-dependent)</w:t>
      </w:r>
      <w:r>
        <w:t xml:space="preserve">: You may reapply at any time if you successfully dispute and correct the information in the consumer report.</w:t>
      </w:r>
    </w:p>
    <w:p>
      <w:r>
        <w:pict>
          <v:rect style="width:0;height:1.5pt" o:hralign="center" o:hrstd="t" o:hr="t"/>
        </w:pict>
      </w:r>
    </w:p>
    <w:bookmarkEnd w:id="24"/>
    <w:bookmarkStart w:id="25" w:name="questions"/>
    <w:p>
      <w:pPr>
        <w:pStyle w:val="Heading3"/>
      </w:pPr>
      <w:r>
        <w:t xml:space="preserve">6. Questions</w:t>
      </w:r>
    </w:p>
    <w:p>
      <w:pPr>
        <w:pStyle w:val="FirstParagraph"/>
      </w:pPr>
      <w:r>
        <w:t xml:space="preserve">If you have questions about this notice, you may contact us at</w:t>
      </w:r>
      <w:r>
        <w:t xml:space="preserve"> </w:t>
      </w:r>
      <w:r>
        <w:rPr>
          <w:bCs/>
          <w:b/>
        </w:rPr>
        <w:t xml:space="preserve">otherpuretask@gmail.com</w:t>
      </w:r>
      <w:r>
        <w:t xml:space="preserve">, subject</w:t>
      </w:r>
      <w:r>
        <w:t xml:space="preserve"> </w:t>
      </w:r>
      <w:r>
        <w:t xml:space="preserve">“</w:t>
      </w:r>
      <w:r>
        <w:rPr>
          <w:bCs/>
          <w:b/>
        </w:rPr>
        <w:t xml:space="preserve">Adverse Action Question — [Your Name]</w:t>
      </w:r>
      <w:r>
        <w:t xml:space="preserve">.</w:t>
      </w:r>
      <w:r>
        <w:t xml:space="preserve">”</w:t>
      </w:r>
      <w:r>
        <w:t xml:space="preserve"> </w:t>
      </w:r>
      <w:r>
        <w:t xml:space="preserve">PureTask cannot, however, change the decision through this channel — that channel exists only to clarify the notice or respond to administrative questions. Substantive disputes go to the consumer reporting agency or, for California applicants, through the Fair Chance Act Request process described in Section 4.</w:t>
      </w:r>
    </w:p>
    <w:p>
      <w:pPr>
        <w:pStyle w:val="BodyText"/>
      </w:pPr>
      <w:r>
        <w:t xml:space="preserve">We appreciate your interest in PureTask. We wish you well.</w:t>
      </w:r>
    </w:p>
    <w:p>
      <w:pPr>
        <w:pStyle w:val="BodyText"/>
      </w:pPr>
      <w:r>
        <w:t xml:space="preserve">Sincerely,</w:t>
      </w:r>
    </w:p>
    <w:p>
      <w:pPr>
        <w:pStyle w:val="BodyText"/>
      </w:pPr>
      <w:r>
        <w:rPr>
          <w:bCs/>
          <w:b/>
        </w:rPr>
        <w:t xml:space="preserve">PureTask LLC</w:t>
      </w:r>
    </w:p>
    <w:p>
      <w:pPr>
        <w:pStyle w:val="BodyText"/>
      </w:pPr>
      <w:r>
        <w:t xml:space="preserve">[NAME OF SENDER]</w:t>
      </w:r>
      <w:r>
        <w:t xml:space="preserve"> </w:t>
      </w:r>
      <w:r>
        <w:t xml:space="preserve">[TITLE]</w:t>
      </w:r>
      <w:r>
        <w:t xml:space="preserve"> </w:t>
      </w:r>
      <w:r>
        <w:rPr>
          <w:bCs/>
          <w:b/>
        </w:rPr>
        <w:t xml:space="preserve">otherpuretask@gmail.com</w:t>
      </w:r>
    </w:p>
    <w:p>
      <w:r>
        <w:pict>
          <v:rect style="width:0;height:1.5pt" o:hralign="center" o:hrstd="t" o:hr="t"/>
        </w:pict>
      </w:r>
    </w:p>
    <w:bookmarkEnd w:id="25"/>
    <w:bookmarkStart w:id="26" w:name="enclosures"/>
    <w:p>
      <w:pPr>
        <w:pStyle w:val="Heading3"/>
      </w:pPr>
      <w:r>
        <w:t xml:space="preserve">Enclosures</w:t>
      </w:r>
    </w:p>
    <w:p>
      <w:pPr>
        <w:numPr>
          <w:ilvl w:val="0"/>
          <w:numId w:val="1002"/>
        </w:numPr>
        <w:pStyle w:val="Compact"/>
      </w:pPr>
      <w:r>
        <w:t xml:space="preserve">☐ Summary of Your Rights Under the Fair Credit Reporting Act (CFPB)</w:t>
      </w:r>
    </w:p>
    <w:p>
      <w:pPr>
        <w:numPr>
          <w:ilvl w:val="0"/>
          <w:numId w:val="1002"/>
        </w:numPr>
        <w:pStyle w:val="Compact"/>
      </w:pPr>
      <w:r>
        <w:t xml:space="preserve">☐ [California only] Summary of Rights Under Cal. Civ. Code § 1786.22</w:t>
      </w:r>
    </w:p>
    <w:p>
      <w:pPr>
        <w:numPr>
          <w:ilvl w:val="0"/>
          <w:numId w:val="1002"/>
        </w:numPr>
        <w:pStyle w:val="Compact"/>
      </w:pPr>
      <w:r>
        <w:t xml:space="preserve">☐ [Optional] Copy of the consumer report (if not previously provided or if updated)</w:t>
      </w:r>
    </w:p>
    <w:p>
      <w:r>
        <w:pict>
          <v:rect style="width:0;height:1.5pt" o:hralign="center" o:hrstd="t" o:hr="t"/>
        </w:pict>
      </w:r>
    </w:p>
    <w:bookmarkEnd w:id="26"/>
    <w:bookmarkEnd w:id="27"/>
    <w:bookmarkEnd w:id="28"/>
    <w:bookmarkStart w:id="29" w:name="internal-use-adverse-action-worksheet"/>
    <w:p>
      <w:pPr>
        <w:pStyle w:val="Heading1"/>
      </w:pPr>
      <w:r>
        <w:t xml:space="preserve">Internal Use — Adverse Action Worksheet</w:t>
      </w:r>
    </w:p>
    <w:p>
      <w:pPr>
        <w:pStyle w:val="FirstParagraph"/>
      </w:pPr>
      <w:r>
        <w:rPr>
          <w:iCs/>
          <w:i/>
        </w:rPr>
        <w:t xml:space="preserve">To be completed by PureTask before sending the notice. Retain in applicant file for at least 5 years.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Applicant name</w:t>
            </w:r>
          </w:p>
        </w:tc>
        <w:tc>
          <w:tcPr/>
          <w:p>
            <w:pPr>
              <w:pStyle w:val="Compact"/>
            </w:pPr>
          </w:p>
        </w:tc>
      </w:tr>
      <w:tr>
        <w:tc>
          <w:tcPr/>
          <w:p>
            <w:pPr>
              <w:pStyle w:val="Compact"/>
              <w:jc w:val="left"/>
            </w:pPr>
            <w:r>
              <w:t xml:space="preserve">Applicant email</w:t>
            </w:r>
          </w:p>
        </w:tc>
        <w:tc>
          <w:tcPr/>
          <w:p>
            <w:pPr>
              <w:pStyle w:val="Compact"/>
            </w:pPr>
          </w:p>
        </w:tc>
      </w:tr>
      <w:tr>
        <w:tc>
          <w:tcPr/>
          <w:p>
            <w:pPr>
              <w:pStyle w:val="Compact"/>
              <w:jc w:val="left"/>
            </w:pPr>
            <w:r>
              <w:t xml:space="preserve">Date Pre-Adverse Action Notice sent</w:t>
            </w:r>
          </w:p>
        </w:tc>
        <w:tc>
          <w:tcPr/>
          <w:p>
            <w:pPr>
              <w:pStyle w:val="Compact"/>
            </w:pPr>
          </w:p>
        </w:tc>
      </w:tr>
      <w:tr>
        <w:tc>
          <w:tcPr/>
          <w:p>
            <w:pPr>
              <w:pStyle w:val="Compact"/>
              <w:jc w:val="left"/>
            </w:pPr>
            <w:r>
              <w:t xml:space="preserve">Date applicant response received (if any)</w:t>
            </w:r>
          </w:p>
        </w:tc>
        <w:tc>
          <w:tcPr/>
          <w:p>
            <w:pPr>
              <w:pStyle w:val="Compact"/>
            </w:pPr>
          </w:p>
        </w:tc>
      </w:tr>
      <w:tr>
        <w:tc>
          <w:tcPr/>
          <w:p>
            <w:pPr>
              <w:pStyle w:val="Compact"/>
              <w:jc w:val="left"/>
            </w:pPr>
            <w:r>
              <w:t xml:space="preserve">Summary of applicant response</w:t>
            </w:r>
          </w:p>
        </w:tc>
        <w:tc>
          <w:tcPr/>
          <w:p>
            <w:pPr>
              <w:pStyle w:val="Compact"/>
            </w:pPr>
          </w:p>
        </w:tc>
      </w:tr>
      <w:tr>
        <w:tc>
          <w:tcPr/>
          <w:p>
            <w:pPr>
              <w:pStyle w:val="Compact"/>
              <w:jc w:val="left"/>
            </w:pPr>
            <w:r>
              <w:t xml:space="preserve">Individualized assessment (CA Fair Chance Act) updated?</w:t>
            </w:r>
          </w:p>
        </w:tc>
        <w:tc>
          <w:tcPr/>
          <w:p>
            <w:pPr>
              <w:pStyle w:val="Compact"/>
              <w:jc w:val="left"/>
            </w:pPr>
            <w:r>
              <w:t xml:space="preserve">☐ Yes ☐ N/A</w:t>
            </w:r>
          </w:p>
        </w:tc>
      </w:tr>
      <w:tr>
        <w:tc>
          <w:tcPr/>
          <w:p>
            <w:pPr>
              <w:pStyle w:val="Compact"/>
              <w:jc w:val="left"/>
            </w:pPr>
            <w:r>
              <w:t xml:space="preserve">Reviewer name (separate from initial reviewer where feasible)</w:t>
            </w:r>
          </w:p>
        </w:tc>
        <w:tc>
          <w:tcPr/>
          <w:p>
            <w:pPr>
              <w:pStyle w:val="Compact"/>
            </w:pPr>
          </w:p>
        </w:tc>
      </w:tr>
      <w:tr>
        <w:tc>
          <w:tcPr/>
          <w:p>
            <w:pPr>
              <w:pStyle w:val="Compact"/>
              <w:jc w:val="left"/>
            </w:pPr>
            <w:r>
              <w:t xml:space="preserve">Final decision</w:t>
            </w:r>
          </w:p>
        </w:tc>
        <w:tc>
          <w:tcPr/>
          <w:p>
            <w:pPr>
              <w:pStyle w:val="Compact"/>
            </w:pPr>
          </w:p>
        </w:tc>
      </w:tr>
      <w:tr>
        <w:tc>
          <w:tcPr/>
          <w:p>
            <w:pPr>
              <w:pStyle w:val="Compact"/>
              <w:jc w:val="left"/>
            </w:pPr>
            <w:r>
              <w:t xml:space="preserve">Basis for final decision</w:t>
            </w:r>
          </w:p>
        </w:tc>
        <w:tc>
          <w:tcPr/>
          <w:p>
            <w:pPr>
              <w:pStyle w:val="Compact"/>
            </w:pPr>
          </w:p>
        </w:tc>
      </w:tr>
      <w:tr>
        <w:tc>
          <w:tcPr/>
          <w:p>
            <w:pPr>
              <w:pStyle w:val="Compact"/>
              <w:jc w:val="left"/>
            </w:pPr>
            <w:r>
              <w:t xml:space="preserve">Items excluded from consideration per Cal. Lab. Code §§ 432.7, 432.8 / AB 2188 / SB 700 / Fair Chance Act</w:t>
            </w:r>
          </w:p>
        </w:tc>
        <w:tc>
          <w:tcPr/>
          <w:p>
            <w:pPr>
              <w:pStyle w:val="Compact"/>
            </w:pPr>
          </w:p>
        </w:tc>
      </w:tr>
      <w:tr>
        <w:tc>
          <w:tcPr/>
          <w:p>
            <w:pPr>
              <w:pStyle w:val="Compact"/>
              <w:jc w:val="left"/>
            </w:pPr>
            <w:r>
              <w:t xml:space="preserve">Re-application option selected</w:t>
            </w:r>
          </w:p>
        </w:tc>
        <w:tc>
          <w:tcPr/>
          <w:p>
            <w:pPr>
              <w:pStyle w:val="Compact"/>
              <w:jc w:val="left"/>
            </w:pPr>
            <w:r>
              <w:t xml:space="preserve">☐ A ☐ B ☐ C ☐ Custom</w:t>
            </w:r>
          </w:p>
        </w:tc>
      </w:tr>
      <w:tr>
        <w:tc>
          <w:tcPr/>
          <w:p>
            <w:pPr>
              <w:pStyle w:val="Compact"/>
              <w:jc w:val="left"/>
            </w:pPr>
            <w:r>
              <w:t xml:space="preserve">Notice prepared by</w:t>
            </w:r>
          </w:p>
        </w:tc>
        <w:tc>
          <w:tcPr/>
          <w:p>
            <w:pPr>
              <w:pStyle w:val="Compact"/>
            </w:pPr>
          </w:p>
        </w:tc>
      </w:tr>
      <w:tr>
        <w:tc>
          <w:tcPr/>
          <w:p>
            <w:pPr>
              <w:pStyle w:val="Compact"/>
              <w:jc w:val="left"/>
            </w:pPr>
            <w:r>
              <w:t xml:space="preserve">Notice reviewed by</w:t>
            </w:r>
          </w:p>
        </w:tc>
        <w:tc>
          <w:tcPr/>
          <w:p>
            <w:pPr>
              <w:pStyle w:val="Compact"/>
            </w:pPr>
          </w:p>
        </w:tc>
      </w:tr>
      <w:tr>
        <w:tc>
          <w:tcPr/>
          <w:p>
            <w:pPr>
              <w:pStyle w:val="Compact"/>
              <w:jc w:val="left"/>
            </w:pPr>
            <w:r>
              <w:t xml:space="preserve">Date notice sent</w:t>
            </w:r>
          </w:p>
        </w:tc>
        <w:tc>
          <w:tcPr/>
          <w:p>
            <w:pPr>
              <w:pStyle w:val="Compact"/>
            </w:pPr>
          </w:p>
        </w:tc>
      </w:tr>
      <w:tr>
        <w:tc>
          <w:tcPr/>
          <w:p>
            <w:pPr>
              <w:pStyle w:val="Compact"/>
              <w:jc w:val="left"/>
            </w:pPr>
            <w:r>
              <w:t xml:space="preserve">Method of delivery</w:t>
            </w:r>
          </w:p>
        </w:tc>
        <w:tc>
          <w:tcPr/>
          <w:p>
            <w:pPr>
              <w:pStyle w:val="Compact"/>
            </w:pPr>
          </w:p>
        </w:tc>
      </w:tr>
      <w:tr>
        <w:tc>
          <w:tcPr/>
          <w:p>
            <w:pPr>
              <w:pStyle w:val="Compact"/>
              <w:jc w:val="left"/>
            </w:pPr>
            <w:r>
              <w:t xml:space="preserve">Delivery confirmation reference</w:t>
            </w:r>
          </w:p>
        </w:tc>
        <w:tc>
          <w:tcPr/>
          <w:p>
            <w:pPr>
              <w:pStyle w:val="Compact"/>
            </w:pPr>
          </w:p>
        </w:tc>
      </w:tr>
      <w:tr>
        <w:tc>
          <w:tcPr/>
          <w:p>
            <w:pPr>
              <w:pStyle w:val="Compact"/>
              <w:jc w:val="left"/>
            </w:pPr>
            <w:r>
              <w:t xml:space="preserve">Date applicant received notice</w:t>
            </w:r>
          </w:p>
        </w:tc>
        <w:tc>
          <w:tcPr/>
          <w:p>
            <w:pPr>
              <w:pStyle w:val="Compact"/>
            </w:pPr>
          </w:p>
        </w:tc>
      </w:tr>
      <w:tr>
        <w:tc>
          <w:tcPr/>
          <w:p>
            <w:pPr>
              <w:pStyle w:val="Compact"/>
              <w:jc w:val="left"/>
            </w:pPr>
            <w:r>
              <w:t xml:space="preserve">Any subsequent communication from applicant</w:t>
            </w:r>
          </w:p>
        </w:tc>
        <w:tc>
          <w:tcPr/>
          <w:p>
            <w:pPr>
              <w:pStyle w:val="Compact"/>
            </w:pPr>
          </w:p>
        </w:tc>
      </w:tr>
    </w:tbl>
    <w:p>
      <w:r>
        <w:pict>
          <v:rect style="width:0;height:1.5pt" o:hralign="center" o:hrstd="t" o:hr="t"/>
        </w:pict>
      </w:r>
    </w:p>
    <w:bookmarkEnd w:id="29"/>
    <w:bookmarkStart w:id="30" w:name="recordkeeping"/>
    <w:p>
      <w:pPr>
        <w:pStyle w:val="Heading1"/>
      </w:pPr>
      <w:r>
        <w:t xml:space="preserve">Recordkeeping</w:t>
      </w:r>
    </w:p>
    <w:p>
      <w:pPr>
        <w:pStyle w:val="FirstParagraph"/>
      </w:pPr>
      <w:r>
        <w:t xml:space="preserve">PureTask shall retain in the applicant file, for</w:t>
      </w:r>
      <w:r>
        <w:t xml:space="preserve"> </w:t>
      </w:r>
      <w:r>
        <w:rPr>
          <w:bCs/>
          <w:b/>
        </w:rPr>
        <w:t xml:space="preserve">not less than 5 years</w:t>
      </w:r>
      <w:r>
        <w:t xml:space="preserve"> </w:t>
      </w:r>
      <w:r>
        <w:t xml:space="preserve">after the date of adverse action:</w:t>
      </w:r>
    </w:p>
    <w:p>
      <w:pPr>
        <w:numPr>
          <w:ilvl w:val="0"/>
          <w:numId w:val="1003"/>
        </w:numPr>
        <w:pStyle w:val="Compact"/>
      </w:pPr>
      <w:r>
        <w:t xml:space="preserve">The signed FCRA Disclosure and Authorization (Document 07);</w:t>
      </w:r>
    </w:p>
    <w:p>
      <w:pPr>
        <w:numPr>
          <w:ilvl w:val="0"/>
          <w:numId w:val="1003"/>
        </w:numPr>
        <w:pStyle w:val="Compact"/>
      </w:pPr>
      <w:r>
        <w:t xml:space="preserve">The consumer report received from the CRA;</w:t>
      </w:r>
    </w:p>
    <w:p>
      <w:pPr>
        <w:numPr>
          <w:ilvl w:val="0"/>
          <w:numId w:val="1003"/>
        </w:numPr>
        <w:pStyle w:val="Compact"/>
      </w:pPr>
      <w:r>
        <w:t xml:space="preserve">Internal individualized-assessment notes (if applicable);</w:t>
      </w:r>
    </w:p>
    <w:p>
      <w:pPr>
        <w:numPr>
          <w:ilvl w:val="0"/>
          <w:numId w:val="1003"/>
        </w:numPr>
        <w:pStyle w:val="Compact"/>
      </w:pPr>
      <w:r>
        <w:t xml:space="preserve">The Pre-Adverse Action Notice (Document 07A) and any response;</w:t>
      </w:r>
    </w:p>
    <w:p>
      <w:pPr>
        <w:numPr>
          <w:ilvl w:val="0"/>
          <w:numId w:val="1003"/>
        </w:numPr>
        <w:pStyle w:val="Compact"/>
      </w:pPr>
      <w:r>
        <w:t xml:space="preserve">The Adverse Action Notice (Document 07B);</w:t>
      </w:r>
    </w:p>
    <w:p>
      <w:pPr>
        <w:numPr>
          <w:ilvl w:val="0"/>
          <w:numId w:val="1003"/>
        </w:numPr>
        <w:pStyle w:val="Compact"/>
      </w:pPr>
      <w:r>
        <w:t xml:space="preserve">Proof of delivery for both notices;</w:t>
      </w:r>
    </w:p>
    <w:p>
      <w:pPr>
        <w:numPr>
          <w:ilvl w:val="0"/>
          <w:numId w:val="1003"/>
        </w:numPr>
        <w:pStyle w:val="Compact"/>
      </w:pPr>
      <w:r>
        <w:t xml:space="preserve">Any subsequent communications.</w:t>
      </w:r>
    </w:p>
    <w:p>
      <w:pPr>
        <w:pStyle w:val="FirstParagraph"/>
      </w:pPr>
      <w:r>
        <w:t xml:space="preserve">These records are essential for defending against FCRA claims (which have a 2-year statute of limitations from discovery, 5-year statute of repose under 15 U.S.C. § 1681p) and ICRAA claims (similar limitations).</w:t>
      </w:r>
    </w:p>
    <w:p>
      <w:r>
        <w:pict>
          <v:rect style="width:0;height:1.5pt" o:hralign="center" o:hrstd="t" o:hr="t"/>
        </w:pict>
      </w:r>
    </w:p>
    <w:p>
      <w:pPr>
        <w:pStyle w:val="FirstParagraph"/>
      </w:pPr>
      <w:r>
        <w:rPr>
          <w:iCs/>
          <w:i/>
        </w:rPr>
        <w:t xml:space="preserve">This is a general template. It is not legal advice. The FCRA adverse action workflow is highly regulated; please have a licensed FCRA attorney review this notice and your operational practices before using it in production. Background-check vendors (Checkr, Sterling, GoodHire) typically provide their own adverse action notice templates and automated workflows — use the vendor’s form when available and confirm it covers all California-specific protections.</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2026-05-17T15:21:07Z</dcterms:created>
  <dcterms:modified xsi:type="dcterms:W3CDTF">2026-05-17T15:21:07Z</dcterms:modified>
</cp:coreProperties>
</file>

<file path=docProps/custom.xml><?xml version="1.0" encoding="utf-8"?>
<Properties xmlns="http://schemas.openxmlformats.org/officeDocument/2006/custom-properties" xmlns:vt="http://schemas.openxmlformats.org/officeDocument/2006/docPropsVTypes"/>
</file>