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X9ad845a1203c20ede446917787d26660e3865cf"/>
    <w:p>
      <w:pPr>
        <w:pStyle w:val="Heading1"/>
      </w:pPr>
      <w:r>
        <w:t xml:space="preserve">PureTask — SMS / Text Messaging Consent Disclosure</w:t>
      </w:r>
    </w:p>
    <w:p>
      <w:pPr>
        <w:pStyle w:val="FirstParagraph"/>
      </w:pPr>
      <w:r>
        <w:rPr>
          <w:bCs/>
          <w:b/>
        </w:rPr>
        <w:t xml:space="preserve">Effective Date:</w:t>
      </w:r>
      <w:r>
        <w:t xml:space="preserve"> </w:t>
      </w:r>
      <w:r>
        <w:t xml:space="preserve">[TO BE SET BEFORE LAUNCH]</w:t>
      </w:r>
      <w:r>
        <w:t xml:space="preserve"> </w:t>
      </w:r>
      <w:r>
        <w:rPr>
          <w:bCs/>
          <w:b/>
        </w:rPr>
        <w:t xml:space="preserve">Version:</w:t>
      </w:r>
      <w:r>
        <w:t xml:space="preserve"> </w:t>
      </w:r>
      <w:r>
        <w:t xml:space="preserve">2.0</w:t>
      </w:r>
    </w:p>
    <w:p>
      <w:pPr>
        <w:pStyle w:val="BodyText"/>
      </w:pPr>
      <w:r>
        <w:t xml:space="preserve">This SMS / Text Messaging Consent Disclosure (this</w:t>
      </w:r>
      <w:r>
        <w:t xml:space="preserve"> </w:t>
      </w:r>
      <w:r>
        <w:t xml:space="preserve">“</w:t>
      </w:r>
      <w:r>
        <w:rPr>
          <w:bCs/>
          <w:b/>
        </w:rPr>
        <w:t xml:space="preserve">Disclosure</w:t>
      </w:r>
      <w:r>
        <w:t xml:space="preserve">”</w:t>
      </w:r>
      <w:r>
        <w:t xml:space="preserve">) explains how</w:t>
      </w:r>
      <w:r>
        <w:t xml:space="preserve"> </w:t>
      </w:r>
      <w:r>
        <w:rPr>
          <w:bCs/>
          <w:b/>
        </w:rPr>
        <w:t xml:space="preserve">PureTask LLC</w:t>
      </w:r>
      <w:r>
        <w:t xml:space="preserve"> </w:t>
      </w:r>
      <w:r>
        <w:t xml:space="preserve">(</w:t>
      </w:r>
      <w:r>
        <w:t xml:space="preserve">“</w:t>
      </w:r>
      <w:r>
        <w:rPr>
          <w:bCs/>
          <w:b/>
        </w:rPr>
        <w:t xml:space="preserve">PureTask</w:t>
      </w:r>
      <w:r>
        <w:t xml:space="preserve">,</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uses text messaging to communicate with you, what consents you are providing, and how you can opt out. It supplements our</w:t>
      </w:r>
      <w:r>
        <w:t xml:space="preserve"> </w:t>
      </w:r>
      <w:hyperlink r:id="rId20">
        <w:r>
          <w:rPr>
            <w:rStyle w:val="Hyperlink"/>
          </w:rPr>
          <w:t xml:space="preserve">Privacy Policy</w:t>
        </w:r>
      </w:hyperlink>
      <w:r>
        <w:t xml:space="preserve"> </w:t>
      </w:r>
      <w:r>
        <w:t xml:space="preserve">and</w:t>
      </w:r>
      <w:r>
        <w:t xml:space="preserve"> </w:t>
      </w:r>
      <w:hyperlink r:id="rId21">
        <w:r>
          <w:rPr>
            <w:rStyle w:val="Hyperlink"/>
          </w:rPr>
          <w:t xml:space="preserve">Terms of Service</w:t>
        </w:r>
      </w:hyperlink>
      <w:r>
        <w:t xml:space="preserve">.</w:t>
      </w:r>
    </w:p>
    <w:p>
      <w:pPr>
        <w:pStyle w:val="BodyText"/>
      </w:pPr>
      <w:r>
        <w:t xml:space="preserve">This Disclosure is designed to comply with the federal</w:t>
      </w:r>
      <w:r>
        <w:t xml:space="preserve"> </w:t>
      </w:r>
      <w:r>
        <w:rPr>
          <w:bCs/>
          <w:b/>
        </w:rPr>
        <w:t xml:space="preserve">Telephone Consumer Protection Act (TCPA), 47 U.S.C. § 227</w:t>
      </w:r>
      <w:r>
        <w:t xml:space="preserve">, the</w:t>
      </w:r>
      <w:r>
        <w:t xml:space="preserve"> </w:t>
      </w:r>
      <w:r>
        <w:rPr>
          <w:bCs/>
          <w:b/>
        </w:rPr>
        <w:t xml:space="preserve">Federal Communications Commission’s implementing regulations (47 C.F.R. § 64.1200)</w:t>
      </w:r>
      <w:r>
        <w:t xml:space="preserve">, the</w:t>
      </w:r>
      <w:r>
        <w:t xml:space="preserve"> </w:t>
      </w:r>
      <w:r>
        <w:rPr>
          <w:bCs/>
          <w:b/>
        </w:rPr>
        <w:t xml:space="preserve">CTIA Messaging Principles and Best Practices</w:t>
      </w:r>
      <w:r>
        <w:t xml:space="preserve">, the</w:t>
      </w:r>
      <w:r>
        <w:t xml:space="preserve"> </w:t>
      </w:r>
      <w:r>
        <w:rPr>
          <w:bCs/>
          <w:b/>
        </w:rPr>
        <w:t xml:space="preserve">California Public Utilities Code</w:t>
      </w:r>
      <w:r>
        <w:t xml:space="preserve"> </w:t>
      </w:r>
      <w:r>
        <w:t xml:space="preserve">and</w:t>
      </w:r>
      <w:r>
        <w:t xml:space="preserve"> </w:t>
      </w:r>
      <w:r>
        <w:rPr>
          <w:bCs/>
          <w:b/>
        </w:rPr>
        <w:t xml:space="preserve">California Consumer Privacy Act / California Privacy Rights Act</w:t>
      </w:r>
      <w:r>
        <w:t xml:space="preserve">, the</w:t>
      </w:r>
      <w:r>
        <w:t xml:space="preserve"> </w:t>
      </w:r>
      <w:r>
        <w:rPr>
          <w:bCs/>
          <w:b/>
        </w:rPr>
        <w:t xml:space="preserve">Florida Telephone Solicitation Act (FTSA), Fla. Stat. § 501.059</w:t>
      </w:r>
      <w:r>
        <w:t xml:space="preserve">, and applicable Texas law.</w:t>
      </w:r>
    </w:p>
    <w:p>
      <w:r>
        <w:pict>
          <v:rect style="width:0;height:1.5pt" o:hralign="center" o:hrstd="t" o:hr="t"/>
        </w:pict>
      </w:r>
    </w:p>
    <w:bookmarkStart w:id="24" w:name="two-types-of-messages"/>
    <w:p>
      <w:pPr>
        <w:pStyle w:val="Heading2"/>
      </w:pPr>
      <w:r>
        <w:t xml:space="preserve">1. Two Types of Messages</w:t>
      </w:r>
    </w:p>
    <w:p>
      <w:pPr>
        <w:pStyle w:val="FirstParagraph"/>
      </w:pPr>
      <w:r>
        <w:t xml:space="preserve">PureTask uses text messaging for two purposes. You can consent to each independently.</w:t>
      </w:r>
    </w:p>
    <w:bookmarkStart w:id="22" w:name="X041c34ae59ce542280fa423ee8f1c0dc1c28673"/>
    <w:p>
      <w:pPr>
        <w:pStyle w:val="Heading3"/>
      </w:pPr>
      <w:r>
        <w:t xml:space="preserve">1.1 Transactional / Service Messages (Required for Bookings)</w:t>
      </w:r>
    </w:p>
    <w:p>
      <w:pPr>
        <w:pStyle w:val="FirstParagraph"/>
      </w:pPr>
      <w:r>
        <w:t xml:space="preserve">These are messages</w:t>
      </w:r>
      <w:r>
        <w:t xml:space="preserve"> </w:t>
      </w:r>
      <w:r>
        <w:rPr>
          <w:bCs/>
          <w:b/>
        </w:rPr>
        <w:t xml:space="preserve">necessary to operate your account and bookings</w:t>
      </w:r>
      <w:r>
        <w:t xml:space="preserve">. Examples:</w:t>
      </w:r>
    </w:p>
    <w:p>
      <w:pPr>
        <w:numPr>
          <w:ilvl w:val="0"/>
          <w:numId w:val="1001"/>
        </w:numPr>
        <w:pStyle w:val="Compact"/>
      </w:pPr>
      <w:r>
        <w:t xml:space="preserve">Booking confirmations;</w:t>
      </w:r>
    </w:p>
    <w:p>
      <w:pPr>
        <w:numPr>
          <w:ilvl w:val="0"/>
          <w:numId w:val="1001"/>
        </w:numPr>
        <w:pStyle w:val="Compact"/>
      </w:pPr>
      <w:r>
        <w:t xml:space="preserve">Pro assignment notifications (Clients) or new booking offers (Pros);</w:t>
      </w:r>
    </w:p>
    <w:p>
      <w:pPr>
        <w:numPr>
          <w:ilvl w:val="0"/>
          <w:numId w:val="1001"/>
        </w:numPr>
        <w:pStyle w:val="Compact"/>
      </w:pPr>
      <w:r>
        <w:t xml:space="preserve">Reminders before scheduled service;</w:t>
      </w:r>
    </w:p>
    <w:p>
      <w:pPr>
        <w:numPr>
          <w:ilvl w:val="0"/>
          <w:numId w:val="1001"/>
        </w:numPr>
        <w:pStyle w:val="Compact"/>
      </w:pPr>
      <w:r>
        <w:t xml:space="preserve">Arrival, completion, and review-window notifications;</w:t>
      </w:r>
    </w:p>
    <w:p>
      <w:pPr>
        <w:numPr>
          <w:ilvl w:val="0"/>
          <w:numId w:val="1001"/>
        </w:numPr>
        <w:pStyle w:val="Compact"/>
      </w:pPr>
      <w:r>
        <w:t xml:space="preserve">Payment receipts and payout notifications;</w:t>
      </w:r>
    </w:p>
    <w:p>
      <w:pPr>
        <w:numPr>
          <w:ilvl w:val="0"/>
          <w:numId w:val="1001"/>
        </w:numPr>
        <w:pStyle w:val="Compact"/>
      </w:pPr>
      <w:r>
        <w:t xml:space="preserve">Dispute updates;</w:t>
      </w:r>
    </w:p>
    <w:p>
      <w:pPr>
        <w:numPr>
          <w:ilvl w:val="0"/>
          <w:numId w:val="1001"/>
        </w:numPr>
        <w:pStyle w:val="Compact"/>
      </w:pPr>
      <w:r>
        <w:t xml:space="preserve">Security alerts (e.g., new device login);</w:t>
      </w:r>
    </w:p>
    <w:p>
      <w:pPr>
        <w:numPr>
          <w:ilvl w:val="0"/>
          <w:numId w:val="1001"/>
        </w:numPr>
        <w:pStyle w:val="Compact"/>
      </w:pPr>
      <w:r>
        <w:t xml:space="preserve">Two-factor authentication codes.</w:t>
      </w:r>
    </w:p>
    <w:p>
      <w:pPr>
        <w:pStyle w:val="FirstParagraph"/>
      </w:pPr>
      <w:r>
        <w:t xml:space="preserve">By creating an account and providing your mobile number, you consent to receive transactional messages from PureTask.</w:t>
      </w:r>
      <w:r>
        <w:t xml:space="preserve"> </w:t>
      </w:r>
      <w:r>
        <w:rPr>
          <w:bCs/>
          <w:b/>
        </w:rPr>
        <w:t xml:space="preserve">This consent is necessary to use the Platform.</w:t>
      </w:r>
    </w:p>
    <w:bookmarkEnd w:id="22"/>
    <w:bookmarkStart w:id="23" w:name="X9d99d14033207fc89e11ce6adbee9fb012e3310"/>
    <w:p>
      <w:pPr>
        <w:pStyle w:val="Heading3"/>
      </w:pPr>
      <w:r>
        <w:t xml:space="preserve">1.2 Marketing / Promotional Messages (Optional, Express Written Consent Required)</w:t>
      </w:r>
    </w:p>
    <w:p>
      <w:pPr>
        <w:pStyle w:val="FirstParagraph"/>
      </w:pPr>
      <w:r>
        <w:t xml:space="preserve">These are messages</w:t>
      </w:r>
      <w:r>
        <w:t xml:space="preserve"> </w:t>
      </w:r>
      <w:r>
        <w:rPr>
          <w:bCs/>
          <w:b/>
        </w:rPr>
        <w:t xml:space="preserve">promoting features, offers, referrals, or other marketing content</w:t>
      </w:r>
      <w:r>
        <w:t xml:space="preserve">. Examples:</w:t>
      </w:r>
    </w:p>
    <w:p>
      <w:pPr>
        <w:numPr>
          <w:ilvl w:val="0"/>
          <w:numId w:val="1002"/>
        </w:numPr>
        <w:pStyle w:val="Compact"/>
      </w:pPr>
      <w:r>
        <w:t xml:space="preserve">New feature announcements;</w:t>
      </w:r>
    </w:p>
    <w:p>
      <w:pPr>
        <w:numPr>
          <w:ilvl w:val="0"/>
          <w:numId w:val="1002"/>
        </w:numPr>
        <w:pStyle w:val="Compact"/>
      </w:pPr>
      <w:r>
        <w:t xml:space="preserve">Promotional offers and discounts;</w:t>
      </w:r>
    </w:p>
    <w:p>
      <w:pPr>
        <w:numPr>
          <w:ilvl w:val="0"/>
          <w:numId w:val="1002"/>
        </w:numPr>
        <w:pStyle w:val="Compact"/>
      </w:pPr>
      <w:r>
        <w:t xml:space="preserve">Referral program invitations;</w:t>
      </w:r>
    </w:p>
    <w:p>
      <w:pPr>
        <w:numPr>
          <w:ilvl w:val="0"/>
          <w:numId w:val="1002"/>
        </w:numPr>
        <w:pStyle w:val="Compact"/>
      </w:pPr>
      <w:r>
        <w:t xml:space="preserve">Newsletter content;</w:t>
      </w:r>
    </w:p>
    <w:p>
      <w:pPr>
        <w:numPr>
          <w:ilvl w:val="0"/>
          <w:numId w:val="1002"/>
        </w:numPr>
        <w:pStyle w:val="Compact"/>
      </w:pPr>
      <w:r>
        <w:t xml:space="preserve">Re-engagement messages.</w:t>
      </w:r>
    </w:p>
    <w:p>
      <w:pPr>
        <w:pStyle w:val="FirstParagraph"/>
      </w:pPr>
      <w:r>
        <w:t xml:space="preserve">Under the TCPA, marketing text messages sent using automated technology require</w:t>
      </w:r>
      <w:r>
        <w:t xml:space="preserve"> </w:t>
      </w:r>
      <w:r>
        <w:rPr>
          <w:bCs/>
          <w:b/>
        </w:rPr>
        <w:t xml:space="preserve">prior express written consent</w:t>
      </w:r>
      <w:r>
        <w:t xml:space="preserve">. This consent is</w:t>
      </w:r>
      <w:r>
        <w:t xml:space="preserve"> </w:t>
      </w:r>
      <w:r>
        <w:rPr>
          <w:bCs/>
          <w:b/>
        </w:rPr>
        <w:t xml:space="preserve">not</w:t>
      </w:r>
      <w:r>
        <w:t xml:space="preserve"> </w:t>
      </w:r>
      <w:r>
        <w:t xml:space="preserve">a condition of using the Platform.</w:t>
      </w:r>
    </w:p>
    <w:p>
      <w:r>
        <w:pict>
          <v:rect style="width:0;height:1.5pt" o:hralign="center" o:hrstd="t" o:hr="t"/>
        </w:pict>
      </w:r>
    </w:p>
    <w:bookmarkEnd w:id="23"/>
    <w:bookmarkEnd w:id="24"/>
    <w:bookmarkStart w:id="25" w:name="X4cfeb21c3085818b6ea287b8468ec8bcb183d2c"/>
    <w:p>
      <w:pPr>
        <w:pStyle w:val="Heading2"/>
      </w:pPr>
      <w:r>
        <w:t xml:space="preserve">2. TCPA Express Written Consent (Marketing Only)</w:t>
      </w:r>
    </w:p>
    <w:p>
      <w:pPr>
        <w:pStyle w:val="FirstParagraph"/>
      </w:pPr>
      <w:r>
        <w:t xml:space="preserve">By checking the</w:t>
      </w:r>
      <w:r>
        <w:t xml:space="preserve"> </w:t>
      </w:r>
      <w:r>
        <w:t xml:space="preserve">“</w:t>
      </w:r>
      <w:r>
        <w:rPr>
          <w:bCs/>
          <w:b/>
        </w:rPr>
        <w:t xml:space="preserve">I agree to receive marketing text messages from PureTask</w:t>
      </w:r>
      <w:r>
        <w:t xml:space="preserve">”</w:t>
      </w:r>
      <w:r>
        <w:t xml:space="preserve"> </w:t>
      </w:r>
      <w:r>
        <w:t xml:space="preserve">box during signup or in your account settings, you acknowledge and agree to the following</w:t>
      </w:r>
      <w:r>
        <w:t xml:space="preserve"> </w:t>
      </w:r>
      <w:r>
        <w:rPr>
          <w:bCs/>
          <w:b/>
        </w:rPr>
        <w:t xml:space="preserve">Express Written Consent</w:t>
      </w:r>
      <w:r>
        <w:t xml:space="preserve">:</w:t>
      </w:r>
    </w:p>
    <w:p>
      <w:pPr>
        <w:pStyle w:val="BlockText"/>
      </w:pPr>
      <w:r>
        <w:t xml:space="preserve">I expressly consent to receive marketing and promotional text messages, including via automated dialing system or other technology, from</w:t>
      </w:r>
      <w:r>
        <w:t xml:space="preserve"> </w:t>
      </w:r>
      <w:r>
        <w:rPr>
          <w:bCs/>
          <w:b/>
        </w:rPr>
        <w:t xml:space="preserve">PureTask LLC</w:t>
      </w:r>
      <w:r>
        <w:t xml:space="preserve"> </w:t>
      </w:r>
      <w:r>
        <w:t xml:space="preserve">at the mobile telephone number I have provided. I understand that:</w:t>
      </w:r>
    </w:p>
    <w:p>
      <w:pPr>
        <w:numPr>
          <w:ilvl w:val="0"/>
          <w:numId w:val="1003"/>
        </w:numPr>
        <w:pStyle w:val="Compact"/>
      </w:pPr>
      <w:r>
        <w:t xml:space="preserve">Consent is</w:t>
      </w:r>
      <w:r>
        <w:t xml:space="preserve"> </w:t>
      </w:r>
      <w:r>
        <w:rPr>
          <w:bCs/>
          <w:b/>
        </w:rPr>
        <w:t xml:space="preserve">not a condition</w:t>
      </w:r>
      <w:r>
        <w:t xml:space="preserve"> </w:t>
      </w:r>
      <w:r>
        <w:t xml:space="preserve">of any purchase or use of the PureTask Platform;</w:t>
      </w:r>
    </w:p>
    <w:p>
      <w:pPr>
        <w:numPr>
          <w:ilvl w:val="0"/>
          <w:numId w:val="1003"/>
        </w:numPr>
        <w:pStyle w:val="Compact"/>
      </w:pPr>
      <w:r>
        <w:rPr>
          <w:bCs/>
          <w:b/>
        </w:rPr>
        <w:t xml:space="preserve">Message and data rates may apply</w:t>
      </w:r>
      <w:r>
        <w:t xml:space="preserve"> </w:t>
      </w:r>
      <w:r>
        <w:t xml:space="preserve">based on my mobile carrier plan;</w:t>
      </w:r>
    </w:p>
    <w:p>
      <w:pPr>
        <w:numPr>
          <w:ilvl w:val="0"/>
          <w:numId w:val="1003"/>
        </w:numPr>
        <w:pStyle w:val="Compact"/>
      </w:pPr>
      <w:r>
        <w:t xml:space="preserve">Message frequency varies and may include up to</w:t>
      </w:r>
      <w:r>
        <w:t xml:space="preserve"> </w:t>
      </w:r>
      <w:r>
        <w:rPr>
          <w:bCs/>
          <w:b/>
        </w:rPr>
        <w:t xml:space="preserve">four (4) messages per month</w:t>
      </w:r>
      <w:r>
        <w:t xml:space="preserve"> </w:t>
      </w:r>
      <w:r>
        <w:t xml:space="preserve">for marketing purposes;</w:t>
      </w:r>
    </w:p>
    <w:p>
      <w:pPr>
        <w:numPr>
          <w:ilvl w:val="0"/>
          <w:numId w:val="1003"/>
        </w:numPr>
        <w:pStyle w:val="Compact"/>
      </w:pPr>
      <w:r>
        <w:t xml:space="preserve">I can opt out at any time by replying</w:t>
      </w:r>
      <w:r>
        <w:t xml:space="preserve"> </w:t>
      </w:r>
      <w:r>
        <w:rPr>
          <w:bCs/>
          <w:b/>
        </w:rPr>
        <w:t xml:space="preserve">STOP</w:t>
      </w:r>
      <w:r>
        <w:t xml:space="preserve"> </w:t>
      </w:r>
      <w:r>
        <w:t xml:space="preserve">to any message;</w:t>
      </w:r>
    </w:p>
    <w:p>
      <w:pPr>
        <w:numPr>
          <w:ilvl w:val="0"/>
          <w:numId w:val="1003"/>
        </w:numPr>
        <w:pStyle w:val="Compact"/>
      </w:pPr>
      <w:r>
        <w:t xml:space="preserve">I can get help by replying</w:t>
      </w:r>
      <w:r>
        <w:t xml:space="preserve"> </w:t>
      </w:r>
      <w:r>
        <w:rPr>
          <w:bCs/>
          <w:b/>
        </w:rPr>
        <w:t xml:space="preserve">HELP</w:t>
      </w:r>
      <w:r>
        <w:t xml:space="preserve"> </w:t>
      </w:r>
      <w:r>
        <w:t xml:space="preserve">to any message; and</w:t>
      </w:r>
    </w:p>
    <w:p>
      <w:pPr>
        <w:numPr>
          <w:ilvl w:val="0"/>
          <w:numId w:val="1003"/>
        </w:numPr>
        <w:pStyle w:val="Compact"/>
      </w:pPr>
      <w:r>
        <w:t xml:space="preserve">This consent is governed by the</w:t>
      </w:r>
      <w:r>
        <w:t xml:space="preserve"> </w:t>
      </w:r>
      <w:r>
        <w:rPr>
          <w:bCs/>
          <w:b/>
        </w:rPr>
        <w:t xml:space="preserve">PureTask</w:t>
      </w:r>
      <w:r>
        <w:rPr>
          <w:bCs/>
          <w:b/>
        </w:rPr>
        <w:t xml:space="preserve"> </w:t>
      </w:r>
      <w:hyperlink r:id="rId20">
        <w:r>
          <w:rPr>
            <w:rStyle w:val="Hyperlink"/>
            <w:bCs/>
            <w:b/>
          </w:rPr>
          <w:t xml:space="preserve">Privacy Policy</w:t>
        </w:r>
      </w:hyperlink>
      <w:r>
        <w:t xml:space="preserve">.</w:t>
      </w:r>
    </w:p>
    <w:p>
      <w:r>
        <w:pict>
          <v:rect style="width:0;height:1.5pt" o:hralign="center" o:hrstd="t" o:hr="t"/>
        </w:pict>
      </w:r>
    </w:p>
    <w:bookmarkEnd w:id="25"/>
    <w:bookmarkStart w:id="30" w:name="quiet-hours-and-banned-days"/>
    <w:p>
      <w:pPr>
        <w:pStyle w:val="Heading2"/>
      </w:pPr>
      <w:r>
        <w:t xml:space="preserve">3. Quiet Hours and Banned Days</w:t>
      </w:r>
    </w:p>
    <w:bookmarkStart w:id="26" w:name="federal-tcpa-quiet-hours"/>
    <w:p>
      <w:pPr>
        <w:pStyle w:val="Heading3"/>
      </w:pPr>
      <w:r>
        <w:t xml:space="preserve">3.1 Federal TCPA Quiet Hours</w:t>
      </w:r>
    </w:p>
    <w:p>
      <w:pPr>
        <w:pStyle w:val="FirstParagraph"/>
      </w:pPr>
      <w:r>
        <w:t xml:space="preserve">Consistent with</w:t>
      </w:r>
      <w:r>
        <w:t xml:space="preserve"> </w:t>
      </w:r>
      <w:r>
        <w:rPr>
          <w:bCs/>
          <w:b/>
        </w:rPr>
        <w:t xml:space="preserve">47 C.F.R. § 64.1200(c)(1)</w:t>
      </w:r>
      <w:r>
        <w:t xml:space="preserve">, PureTask will not send</w:t>
      </w:r>
      <w:r>
        <w:t xml:space="preserve"> </w:t>
      </w:r>
      <w:r>
        <w:rPr>
          <w:bCs/>
          <w:b/>
        </w:rPr>
        <w:t xml:space="preserve">marketing text messages</w:t>
      </w:r>
      <w:r>
        <w:t xml:space="preserve"> </w:t>
      </w:r>
      <w:r>
        <w:t xml:space="preserve">before</w:t>
      </w:r>
      <w:r>
        <w:t xml:space="preserve"> </w:t>
      </w:r>
      <w:r>
        <w:rPr>
          <w:bCs/>
          <w:b/>
        </w:rPr>
        <w:t xml:space="preserve">8:00 a.m.</w:t>
      </w:r>
      <w:r>
        <w:t xml:space="preserve"> </w:t>
      </w:r>
      <w:r>
        <w:t xml:space="preserve">or after</w:t>
      </w:r>
      <w:r>
        <w:t xml:space="preserve"> </w:t>
      </w:r>
      <w:r>
        <w:rPr>
          <w:bCs/>
          <w:b/>
        </w:rPr>
        <w:t xml:space="preserve">9:00 p.m.</w:t>
      </w:r>
      <w:r>
        <w:t xml:space="preserve"> </w:t>
      </w:r>
      <w:r>
        <w:t xml:space="preserve">in your</w:t>
      </w:r>
      <w:r>
        <w:t xml:space="preserve"> </w:t>
      </w:r>
      <w:r>
        <w:rPr>
          <w:bCs/>
          <w:b/>
        </w:rPr>
        <w:t xml:space="preserve">local time zone</w:t>
      </w:r>
      <w:r>
        <w:t xml:space="preserve"> </w:t>
      </w:r>
      <w:r>
        <w:t xml:space="preserve">(determined by your area code or last known location).</w:t>
      </w:r>
    </w:p>
    <w:bookmarkEnd w:id="26"/>
    <w:bookmarkStart w:id="27" w:name="transactional-messages"/>
    <w:p>
      <w:pPr>
        <w:pStyle w:val="Heading3"/>
      </w:pPr>
      <w:r>
        <w:t xml:space="preserve">3.2 Transactional Messages</w:t>
      </w:r>
    </w:p>
    <w:p>
      <w:pPr>
        <w:pStyle w:val="FirstParagraph"/>
      </w:pPr>
      <w:r>
        <w:t xml:space="preserve">Transactional messages (booking confirmations, arrival alerts, two-factor codes, security alerts) are</w:t>
      </w:r>
      <w:r>
        <w:t xml:space="preserve"> </w:t>
      </w:r>
      <w:r>
        <w:rPr>
          <w:bCs/>
          <w:b/>
        </w:rPr>
        <w:t xml:space="preserve">not</w:t>
      </w:r>
      <w:r>
        <w:t xml:space="preserve"> </w:t>
      </w:r>
      <w:r>
        <w:t xml:space="preserve">subject to quiet-hour restrictions, as they are not solicitations under the TCPA and are tied to your active use of the Platform.</w:t>
      </w:r>
    </w:p>
    <w:bookmarkEnd w:id="27"/>
    <w:bookmarkStart w:id="28" w:name="florida-restrictions-ftsa"/>
    <w:p>
      <w:pPr>
        <w:pStyle w:val="Heading3"/>
      </w:pPr>
      <w:r>
        <w:t xml:space="preserve">3.3 Florida Restrictions (FTSA)</w:t>
      </w:r>
    </w:p>
    <w:p>
      <w:pPr>
        <w:pStyle w:val="FirstParagraph"/>
      </w:pPr>
      <w:r>
        <w:t xml:space="preserve">Under the</w:t>
      </w:r>
      <w:r>
        <w:t xml:space="preserve"> </w:t>
      </w:r>
      <w:r>
        <w:rPr>
          <w:bCs/>
          <w:b/>
        </w:rPr>
        <w:t xml:space="preserve">Florida Telephone Solicitation Act, Fla. Stat. § 501.059(1)(c)</w:t>
      </w:r>
      <w:r>
        <w:t xml:space="preserve">, marketing telephonic sales calls and text messages may not be made:</w:t>
      </w:r>
    </w:p>
    <w:p>
      <w:pPr>
        <w:numPr>
          <w:ilvl w:val="0"/>
          <w:numId w:val="1004"/>
        </w:numPr>
        <w:pStyle w:val="Compact"/>
      </w:pPr>
      <w:r>
        <w:rPr>
          <w:bCs/>
          <w:b/>
        </w:rPr>
        <w:t xml:space="preserve">Before 8:00 a.m. or after 8:00 p.m. local time</w:t>
      </w:r>
      <w:r>
        <w:t xml:space="preserve"> </w:t>
      </w:r>
      <w:r>
        <w:t xml:space="preserve">(Florida quiet hours are stricter than federal);</w:t>
      </w:r>
    </w:p>
    <w:p>
      <w:pPr>
        <w:numPr>
          <w:ilvl w:val="0"/>
          <w:numId w:val="1004"/>
        </w:numPr>
        <w:pStyle w:val="Compact"/>
      </w:pPr>
      <w:r>
        <w:t xml:space="preserve">On</w:t>
      </w:r>
      <w:r>
        <w:t xml:space="preserve"> </w:t>
      </w:r>
      <w:r>
        <w:rPr>
          <w:bCs/>
          <w:b/>
        </w:rPr>
        <w:t xml:space="preserve">any Sunday</w:t>
      </w:r>
      <w:r>
        <w:t xml:space="preserve">, unless the recipient has expressly agreed to Sunday messaging;</w:t>
      </w:r>
    </w:p>
    <w:p>
      <w:pPr>
        <w:numPr>
          <w:ilvl w:val="0"/>
          <w:numId w:val="1004"/>
        </w:numPr>
        <w:pStyle w:val="Compact"/>
      </w:pPr>
      <w:r>
        <w:t xml:space="preserve">More than</w:t>
      </w:r>
      <w:r>
        <w:t xml:space="preserve"> </w:t>
      </w:r>
      <w:r>
        <w:rPr>
          <w:bCs/>
          <w:b/>
        </w:rPr>
        <w:t xml:space="preserve">three (3) times per 24-hour period</w:t>
      </w:r>
      <w:r>
        <w:t xml:space="preserve"> </w:t>
      </w:r>
      <w:r>
        <w:t xml:space="preserve">for the same subject matter;</w:t>
      </w:r>
    </w:p>
    <w:p>
      <w:pPr>
        <w:numPr>
          <w:ilvl w:val="0"/>
          <w:numId w:val="1004"/>
        </w:numPr>
        <w:pStyle w:val="Compact"/>
      </w:pPr>
      <w:r>
        <w:rPr>
          <w:bCs/>
          <w:b/>
        </w:rPr>
        <w:t xml:space="preserve">Without disclosing the sender’s identity</w:t>
      </w:r>
      <w:r>
        <w:t xml:space="preserve"> </w:t>
      </w:r>
      <w:r>
        <w:t xml:space="preserve">at the start of the message.</w:t>
      </w:r>
    </w:p>
    <w:p>
      <w:pPr>
        <w:pStyle w:val="FirstParagraph"/>
      </w:pPr>
      <w:r>
        <w:t xml:space="preserve">PureTask’s marketing-SMS system is configured to comply with FTSA for Florida-based numbers.</w:t>
      </w:r>
    </w:p>
    <w:bookmarkEnd w:id="28"/>
    <w:bookmarkStart w:id="29" w:name="california"/>
    <w:p>
      <w:pPr>
        <w:pStyle w:val="Heading3"/>
      </w:pPr>
      <w:r>
        <w:t xml:space="preserve">3.4 California</w:t>
      </w:r>
    </w:p>
    <w:p>
      <w:pPr>
        <w:pStyle w:val="FirstParagraph"/>
      </w:pPr>
      <w:r>
        <w:t xml:space="preserve">California does not impose additional quiet-hour rules beyond TCPA, but</w:t>
      </w:r>
      <w:r>
        <w:t xml:space="preserve"> </w:t>
      </w:r>
      <w:r>
        <w:rPr>
          <w:bCs/>
          <w:b/>
        </w:rPr>
        <w:t xml:space="preserve">California Public Utilities Code § 2871</w:t>
      </w:r>
      <w:r>
        <w:t xml:space="preserve"> </w:t>
      </w:r>
      <w:r>
        <w:t xml:space="preserve">requires accurate caller-identification information. See Section 5.</w:t>
      </w:r>
    </w:p>
    <w:p>
      <w:r>
        <w:pict>
          <v:rect style="width:0;height:1.5pt" o:hralign="center" o:hrstd="t" o:hr="t"/>
        </w:pict>
      </w:r>
    </w:p>
    <w:bookmarkEnd w:id="29"/>
    <w:bookmarkEnd w:id="30"/>
    <w:bookmarkStart w:id="31" w:name="sender-identification"/>
    <w:p>
      <w:pPr>
        <w:pStyle w:val="Heading2"/>
      </w:pPr>
      <w:r>
        <w:t xml:space="preserve">4. Sender Identification</w:t>
      </w:r>
    </w:p>
    <w:p>
      <w:pPr>
        <w:pStyle w:val="FirstParagraph"/>
      </w:pPr>
      <w:r>
        <w:t xml:space="preserve">Every marketing message from PureTask will:</w:t>
      </w:r>
    </w:p>
    <w:p>
      <w:pPr>
        <w:numPr>
          <w:ilvl w:val="0"/>
          <w:numId w:val="1005"/>
        </w:numPr>
        <w:pStyle w:val="Compact"/>
      </w:pPr>
      <w:r>
        <w:rPr>
          <w:bCs/>
          <w:b/>
        </w:rPr>
        <w:t xml:space="preserve">Identify the sender</w:t>
      </w:r>
      <w:r>
        <w:t xml:space="preserve"> </w:t>
      </w:r>
      <w:r>
        <w:t xml:space="preserve">as</w:t>
      </w:r>
      <w:r>
        <w:t xml:space="preserve"> </w:t>
      </w:r>
      <w:r>
        <w:t xml:space="preserve">“</w:t>
      </w:r>
      <w:r>
        <w:rPr>
          <w:bCs/>
          <w:b/>
        </w:rPr>
        <w:t xml:space="preserve">PureTask</w:t>
      </w:r>
      <w:r>
        <w:t xml:space="preserve">”</w:t>
      </w:r>
      <w:r>
        <w:t xml:space="preserve"> </w:t>
      </w:r>
      <w:r>
        <w:t xml:space="preserve">(or</w:t>
      </w:r>
      <w:r>
        <w:t xml:space="preserve"> </w:t>
      </w:r>
      <w:r>
        <w:t xml:space="preserve">“</w:t>
      </w:r>
      <w:r>
        <w:rPr>
          <w:bCs/>
          <w:b/>
        </w:rPr>
        <w:t xml:space="preserve">PureTask LLC</w:t>
      </w:r>
      <w:r>
        <w:t xml:space="preserve">”</w:t>
      </w:r>
      <w:r>
        <w:t xml:space="preserve">) at the start of the message;</w:t>
      </w:r>
    </w:p>
    <w:p>
      <w:pPr>
        <w:numPr>
          <w:ilvl w:val="0"/>
          <w:numId w:val="1005"/>
        </w:numPr>
        <w:pStyle w:val="Compact"/>
      </w:pPr>
      <w:r>
        <w:t xml:space="preserve">Include a</w:t>
      </w:r>
      <w:r>
        <w:t xml:space="preserve"> </w:t>
      </w:r>
      <w:r>
        <w:rPr>
          <w:bCs/>
          <w:b/>
        </w:rPr>
        <w:t xml:space="preserve">clear purpose</w:t>
      </w:r>
      <w:r>
        <w:t xml:space="preserve"> </w:t>
      </w:r>
      <w:r>
        <w:t xml:space="preserve">statement of the message;</w:t>
      </w:r>
    </w:p>
    <w:p>
      <w:pPr>
        <w:numPr>
          <w:ilvl w:val="0"/>
          <w:numId w:val="1005"/>
        </w:numPr>
        <w:pStyle w:val="Compact"/>
      </w:pPr>
      <w:r>
        <w:t xml:space="preserve">Include</w:t>
      </w:r>
      <w:r>
        <w:t xml:space="preserve"> </w:t>
      </w:r>
      <w:r>
        <w:rPr>
          <w:bCs/>
          <w:b/>
        </w:rPr>
        <w:t xml:space="preserve">opt-out instructions</w:t>
      </w:r>
      <w:r>
        <w:t xml:space="preserve"> </w:t>
      </w:r>
      <w:r>
        <w:t xml:space="preserve">(e.g.,</w:t>
      </w:r>
      <w:r>
        <w:t xml:space="preserve"> </w:t>
      </w:r>
      <w:r>
        <w:t xml:space="preserve">“</w:t>
      </w:r>
      <w:r>
        <w:t xml:space="preserve">Reply STOP to opt out</w:t>
      </w:r>
      <w:r>
        <w:t xml:space="preserve">”</w:t>
      </w:r>
      <w:r>
        <w:t xml:space="preserve">);</w:t>
      </w:r>
    </w:p>
    <w:p>
      <w:pPr>
        <w:numPr>
          <w:ilvl w:val="0"/>
          <w:numId w:val="1005"/>
        </w:numPr>
        <w:pStyle w:val="Compact"/>
      </w:pPr>
      <w:r>
        <w:t xml:space="preserve">For initial messages, include a link to this Disclosure:</w:t>
      </w:r>
      <w:r>
        <w:t xml:space="preserve"> </w:t>
      </w:r>
      <w:r>
        <w:t xml:space="preserve">“</w:t>
      </w:r>
      <w:r>
        <w:rPr>
          <w:bCs/>
          <w:b/>
        </w:rPr>
        <w:t xml:space="preserve">Msg&amp;data rates may apply. Reply STOP to cancel, HELP for help. T&amp;Cs: puretask.co/legal/sms</w:t>
      </w:r>
      <w:r>
        <w:t xml:space="preserve">.</w:t>
      </w:r>
      <w:r>
        <w:t xml:space="preserve">”</w:t>
      </w:r>
    </w:p>
    <w:p>
      <w:pPr>
        <w:pStyle w:val="FirstParagraph"/>
      </w:pPr>
      <w:r>
        <w:t xml:space="preserve">Transactional messages identify PureTask through the registered short code or 10DLC number tied to PureTask’s registered brand.</w:t>
      </w:r>
    </w:p>
    <w:p>
      <w:r>
        <w:pict>
          <v:rect style="width:0;height:1.5pt" o:hralign="center" o:hrstd="t" o:hr="t"/>
        </w:pict>
      </w:r>
    </w:p>
    <w:bookmarkEnd w:id="31"/>
    <w:bookmarkStart w:id="32" w:name="caller-id-and-number-display"/>
    <w:p>
      <w:pPr>
        <w:pStyle w:val="Heading2"/>
      </w:pPr>
      <w:r>
        <w:t xml:space="preserve">5. Caller ID and Number Display</w:t>
      </w:r>
    </w:p>
    <w:p>
      <w:pPr>
        <w:pStyle w:val="FirstParagraph"/>
      </w:pPr>
      <w:r>
        <w:t xml:space="preserve">PureTask transmits accurate caller-identification information consistent with</w:t>
      </w:r>
      <w:r>
        <w:t xml:space="preserve"> </w:t>
      </w:r>
      <w:r>
        <w:rPr>
          <w:bCs/>
          <w:b/>
        </w:rPr>
        <w:t xml:space="preserve">47 U.S.C. § 227(e)</w:t>
      </w:r>
      <w:r>
        <w:t xml:space="preserve"> </w:t>
      </w:r>
      <w:r>
        <w:t xml:space="preserve">(Truth in Caller ID Act) and</w:t>
      </w:r>
      <w:r>
        <w:t xml:space="preserve"> </w:t>
      </w:r>
      <w:r>
        <w:rPr>
          <w:bCs/>
          <w:b/>
        </w:rPr>
        <w:t xml:space="preserve">California Public Utilities Code § 2871</w:t>
      </w:r>
      <w:r>
        <w:t xml:space="preserve">. PureTask’s SMS messages are sent from a registered</w:t>
      </w:r>
      <w:r>
        <w:t xml:space="preserve"> </w:t>
      </w:r>
      <w:r>
        <w:rPr>
          <w:bCs/>
          <w:b/>
        </w:rPr>
        <w:t xml:space="preserve">short code</w:t>
      </w:r>
      <w:r>
        <w:t xml:space="preserve"> </w:t>
      </w:r>
      <w:r>
        <w:t xml:space="preserve">(e.g.,</w:t>
      </w:r>
      <w:r>
        <w:t xml:space="preserve"> </w:t>
      </w:r>
      <w:r>
        <w:t xml:space="preserve">“</w:t>
      </w:r>
      <w:r>
        <w:rPr>
          <w:bCs/>
          <w:b/>
        </w:rPr>
        <w:t xml:space="preserve">12345</w:t>
      </w:r>
      <w:r>
        <w:t xml:space="preserve">”</w:t>
      </w:r>
      <w:r>
        <w:t xml:space="preserve">) or a verified</w:t>
      </w:r>
      <w:r>
        <w:t xml:space="preserve"> </w:t>
      </w:r>
      <w:r>
        <w:rPr>
          <w:bCs/>
          <w:b/>
        </w:rPr>
        <w:t xml:space="preserve">10DLC</w:t>
      </w:r>
      <w:r>
        <w:t xml:space="preserve"> </w:t>
      </w:r>
      <w:r>
        <w:t xml:space="preserve">(10-digit long code) number associated with the PureTask brand registered with</w:t>
      </w:r>
      <w:r>
        <w:t xml:space="preserve"> </w:t>
      </w:r>
      <w:r>
        <w:rPr>
          <w:bCs/>
          <w:b/>
        </w:rPr>
        <w:t xml:space="preserve">The Campaign Registry</w:t>
      </w:r>
      <w:r>
        <w:t xml:space="preserve">.</w:t>
      </w:r>
    </w:p>
    <w:p>
      <w:pPr>
        <w:pStyle w:val="BodyText"/>
      </w:pPr>
      <w:r>
        <w:t xml:space="preserve">PureTask does</w:t>
      </w:r>
      <w:r>
        <w:t xml:space="preserve"> </w:t>
      </w:r>
      <w:r>
        <w:rPr>
          <w:bCs/>
          <w:b/>
        </w:rPr>
        <w:t xml:space="preserve">not</w:t>
      </w:r>
      <w:r>
        <w:t xml:space="preserve"> </w:t>
      </w:r>
      <w:r>
        <w:t xml:space="preserve">spoof, mask, or misrepresent the sending number.</w:t>
      </w:r>
    </w:p>
    <w:p>
      <w:r>
        <w:pict>
          <v:rect style="width:0;height:1.5pt" o:hralign="center" o:hrstd="t" o:hr="t"/>
        </w:pict>
      </w:r>
    </w:p>
    <w:bookmarkEnd w:id="32"/>
    <w:bookmarkStart w:id="37" w:name="opting-out"/>
    <w:p>
      <w:pPr>
        <w:pStyle w:val="Heading2"/>
      </w:pPr>
      <w:r>
        <w:t xml:space="preserve">6. Opting Out</w:t>
      </w:r>
    </w:p>
    <w:bookmarkStart w:id="33" w:name="opt-out-of-marketing-messages"/>
    <w:p>
      <w:pPr>
        <w:pStyle w:val="Heading3"/>
      </w:pPr>
      <w:r>
        <w:t xml:space="preserve">6.1 Opt Out of Marketing Messages</w:t>
      </w:r>
    </w:p>
    <w:p>
      <w:pPr>
        <w:pStyle w:val="FirstParagraph"/>
      </w:pPr>
      <w:r>
        <w:t xml:space="preserve">Opt out at any time:</w:t>
      </w:r>
    </w:p>
    <w:p>
      <w:pPr>
        <w:numPr>
          <w:ilvl w:val="0"/>
          <w:numId w:val="1006"/>
        </w:numPr>
        <w:pStyle w:val="Compact"/>
      </w:pPr>
      <w:r>
        <w:rPr>
          <w:bCs/>
          <w:b/>
        </w:rPr>
        <w:t xml:space="preserve">Reply STOP</w:t>
      </w:r>
      <w:r>
        <w:t xml:space="preserve"> </w:t>
      </w:r>
      <w:r>
        <w:t xml:space="preserve">to any marketing text message;</w:t>
      </w:r>
    </w:p>
    <w:p>
      <w:pPr>
        <w:numPr>
          <w:ilvl w:val="0"/>
          <w:numId w:val="1006"/>
        </w:numPr>
        <w:pStyle w:val="Compact"/>
      </w:pPr>
      <w:r>
        <w:rPr>
          <w:bCs/>
          <w:b/>
        </w:rPr>
        <w:t xml:space="preserve">Adjust preferences</w:t>
      </w:r>
      <w:r>
        <w:t xml:space="preserve"> </w:t>
      </w:r>
      <w:r>
        <w:t xml:space="preserve">in the PureTask app: Settings → Notifications → Marketing SMS → toggle off;</w:t>
      </w:r>
    </w:p>
    <w:p>
      <w:pPr>
        <w:numPr>
          <w:ilvl w:val="0"/>
          <w:numId w:val="1006"/>
        </w:numPr>
        <w:pStyle w:val="Compact"/>
      </w:pPr>
      <w:r>
        <w:rPr>
          <w:bCs/>
          <w:b/>
        </w:rPr>
        <w:t xml:space="preserve">Email otherpuretask@gmail.com</w:t>
      </w:r>
      <w:r>
        <w:t xml:space="preserve"> </w:t>
      </w:r>
      <w:r>
        <w:t xml:space="preserve">with the subject</w:t>
      </w:r>
      <w:r>
        <w:t xml:space="preserve"> </w:t>
      </w:r>
      <w:r>
        <w:t xml:space="preserve">“</w:t>
      </w:r>
      <w:r>
        <w:rPr>
          <w:bCs/>
          <w:b/>
        </w:rPr>
        <w:t xml:space="preserve">SMS Opt Out</w:t>
      </w:r>
      <w:r>
        <w:t xml:space="preserve">.</w:t>
      </w:r>
      <w:r>
        <w:t xml:space="preserve">”</w:t>
      </w:r>
    </w:p>
    <w:p>
      <w:pPr>
        <w:pStyle w:val="FirstParagraph"/>
      </w:pPr>
      <w:r>
        <w:t xml:space="preserve">A confirmation message will be sent. No further marketing messages will be sent after opt-out.</w:t>
      </w:r>
    </w:p>
    <w:bookmarkEnd w:id="33"/>
    <w:bookmarkStart w:id="34" w:name="opt-out-of-transactional-messages"/>
    <w:p>
      <w:pPr>
        <w:pStyle w:val="Heading3"/>
      </w:pPr>
      <w:r>
        <w:t xml:space="preserve">6.2 Opt Out of Transactional Messages</w:t>
      </w:r>
    </w:p>
    <w:p>
      <w:pPr>
        <w:pStyle w:val="FirstParagraph"/>
      </w:pPr>
      <w:r>
        <w:t xml:space="preserve">To stop transactional messages, close your PureTask account, as transactional messages are necessary to operate Bookings safely. Close your account in settings or by emailing</w:t>
      </w:r>
      <w:r>
        <w:t xml:space="preserve"> </w:t>
      </w:r>
      <w:r>
        <w:rPr>
          <w:bCs/>
          <w:b/>
        </w:rPr>
        <w:t xml:space="preserve">otherpuretask@gmail.com</w:t>
      </w:r>
      <w:r>
        <w:t xml:space="preserve">.</w:t>
      </w:r>
    </w:p>
    <w:bookmarkEnd w:id="34"/>
    <w:bookmarkStart w:id="35" w:name="re-subscribing"/>
    <w:p>
      <w:pPr>
        <w:pStyle w:val="Heading3"/>
      </w:pPr>
      <w:r>
        <w:t xml:space="preserve">6.3 Re-Subscribing</w:t>
      </w:r>
    </w:p>
    <w:p>
      <w:pPr>
        <w:pStyle w:val="FirstParagraph"/>
      </w:pPr>
      <w:r>
        <w:t xml:space="preserve">Re-subscribe in account settings or by texting</w:t>
      </w:r>
      <w:r>
        <w:t xml:space="preserve"> </w:t>
      </w:r>
      <w:r>
        <w:rPr>
          <w:bCs/>
          <w:b/>
        </w:rPr>
        <w:t xml:space="preserve">START</w:t>
      </w:r>
      <w:r>
        <w:t xml:space="preserve"> </w:t>
      </w:r>
      <w:r>
        <w:t xml:space="preserve">to PureTask’s shortcode.</w:t>
      </w:r>
    </w:p>
    <w:bookmarkEnd w:id="35"/>
    <w:bookmarkStart w:id="36" w:name="time-to-honor-opt-out"/>
    <w:p>
      <w:pPr>
        <w:pStyle w:val="Heading3"/>
      </w:pPr>
      <w:r>
        <w:t xml:space="preserve">6.4 Time to Honor Opt-Out</w:t>
      </w:r>
    </w:p>
    <w:p>
      <w:pPr>
        <w:pStyle w:val="FirstParagraph"/>
      </w:pPr>
      <w:r>
        <w:t xml:space="preserve">PureTask honors opt-out requests within</w:t>
      </w:r>
      <w:r>
        <w:t xml:space="preserve"> </w:t>
      </w:r>
      <w:r>
        <w:rPr>
          <w:bCs/>
          <w:b/>
        </w:rPr>
        <w:t xml:space="preserve">ten (10) business days</w:t>
      </w:r>
      <w:r>
        <w:t xml:space="preserve"> </w:t>
      </w:r>
      <w:r>
        <w:t xml:space="preserve">as required by federal and state law. In most cases, opt-out is processed immediately upon receipt of STOP.</w:t>
      </w:r>
    </w:p>
    <w:p>
      <w:r>
        <w:pict>
          <v:rect style="width:0;height:1.5pt" o:hralign="center" o:hrstd="t" o:hr="t"/>
        </w:pict>
      </w:r>
    </w:p>
    <w:bookmarkEnd w:id="36"/>
    <w:bookmarkEnd w:id="37"/>
    <w:bookmarkStart w:id="38" w:name="help"/>
    <w:p>
      <w:pPr>
        <w:pStyle w:val="Heading2"/>
      </w:pPr>
      <w:r>
        <w:t xml:space="preserve">7. Help</w:t>
      </w:r>
    </w:p>
    <w:p>
      <w:pPr>
        <w:pStyle w:val="FirstParagraph"/>
      </w:pPr>
      <w:r>
        <w:t xml:space="preserve">Reply</w:t>
      </w:r>
      <w:r>
        <w:t xml:space="preserve"> </w:t>
      </w:r>
      <w:r>
        <w:rPr>
          <w:bCs/>
          <w:b/>
        </w:rPr>
        <w:t xml:space="preserve">HELP</w:t>
      </w:r>
      <w:r>
        <w:t xml:space="preserve"> </w:t>
      </w:r>
      <w:r>
        <w:t xml:space="preserve">to any PureTask text message, or email</w:t>
      </w:r>
      <w:r>
        <w:t xml:space="preserve"> </w:t>
      </w:r>
      <w:r>
        <w:rPr>
          <w:bCs/>
          <w:b/>
        </w:rPr>
        <w:t xml:space="preserve">otherpuretask@gmail.com</w:t>
      </w:r>
      <w:r>
        <w:t xml:space="preserve">.</w:t>
      </w:r>
    </w:p>
    <w:p>
      <w:r>
        <w:pict>
          <v:rect style="width:0;height:1.5pt" o:hralign="center" o:hrstd="t" o:hr="t"/>
        </w:pict>
      </w:r>
    </w:p>
    <w:bookmarkEnd w:id="38"/>
    <w:bookmarkStart w:id="39" w:name="message-frequency"/>
    <w:p>
      <w:pPr>
        <w:pStyle w:val="Heading2"/>
      </w:pPr>
      <w:r>
        <w:t xml:space="preserve">8. Message Frequency</w:t>
      </w:r>
    </w:p>
    <w:p>
      <w:pPr>
        <w:numPr>
          <w:ilvl w:val="0"/>
          <w:numId w:val="1007"/>
        </w:numPr>
        <w:pStyle w:val="Compact"/>
      </w:pPr>
      <w:r>
        <w:rPr>
          <w:bCs/>
          <w:b/>
        </w:rPr>
        <w:t xml:space="preserve">Transactional</w:t>
      </w:r>
      <w:r>
        <w:t xml:space="preserve">: Frequency depends on activity. Typical Booking generates 4–8 messages.</w:t>
      </w:r>
    </w:p>
    <w:p>
      <w:pPr>
        <w:numPr>
          <w:ilvl w:val="0"/>
          <w:numId w:val="1007"/>
        </w:numPr>
        <w:pStyle w:val="Compact"/>
      </w:pPr>
      <w:r>
        <w:rPr>
          <w:bCs/>
          <w:b/>
        </w:rPr>
        <w:t xml:space="preserve">Marketing (if opted in)</w:t>
      </w:r>
      <w:r>
        <w:t xml:space="preserve">: Up to</w:t>
      </w:r>
      <w:r>
        <w:t xml:space="preserve"> </w:t>
      </w:r>
      <w:r>
        <w:rPr>
          <w:bCs/>
          <w:b/>
        </w:rPr>
        <w:t xml:space="preserve">four (4) messages per month</w:t>
      </w:r>
      <w:r>
        <w:t xml:space="preserve">.</w:t>
      </w:r>
    </w:p>
    <w:p>
      <w:r>
        <w:pict>
          <v:rect style="width:0;height:1.5pt" o:hralign="center" o:hrstd="t" o:hr="t"/>
        </w:pict>
      </w:r>
    </w:p>
    <w:bookmarkEnd w:id="39"/>
    <w:bookmarkStart w:id="40" w:name="message-and-data-rates"/>
    <w:p>
      <w:pPr>
        <w:pStyle w:val="Heading2"/>
      </w:pPr>
      <w:r>
        <w:t xml:space="preserve">9. Message and Data Rates</w:t>
      </w:r>
    </w:p>
    <w:p>
      <w:pPr>
        <w:pStyle w:val="FirstParagraph"/>
      </w:pPr>
      <w:r>
        <w:t xml:space="preserve">Standard message and data rates from your mobile carrier may apply. PureTask does not charge for text messages, but your carrier may. PureTask is not responsible for delays, failed deliveries, or charges imposed by your carrier.</w:t>
      </w:r>
    </w:p>
    <w:p>
      <w:r>
        <w:pict>
          <v:rect style="width:0;height:1.5pt" o:hralign="center" o:hrstd="t" o:hr="t"/>
        </w:pict>
      </w:r>
    </w:p>
    <w:bookmarkEnd w:id="40"/>
    <w:bookmarkStart w:id="41" w:name="supported-carriers"/>
    <w:p>
      <w:pPr>
        <w:pStyle w:val="Heading2"/>
      </w:pPr>
      <w:r>
        <w:t xml:space="preserve">10. Supported Carriers</w:t>
      </w:r>
    </w:p>
    <w:p>
      <w:pPr>
        <w:pStyle w:val="FirstParagraph"/>
      </w:pPr>
      <w:r>
        <w:t xml:space="preserve">PureTask supports messages to and from major U.S. carriers (AT&amp;T, Verizon, T-Mobile, US Cellular, Boost Mobile, Cricket Wireless, MetroPCS, and others). PureTask is not liable for delayed or undelivered messages.</w:t>
      </w:r>
    </w:p>
    <w:p>
      <w:r>
        <w:pict>
          <v:rect style="width:0;height:1.5pt" o:hralign="center" o:hrstd="t" o:hr="t"/>
        </w:pict>
      </w:r>
    </w:p>
    <w:bookmarkEnd w:id="41"/>
    <w:bookmarkStart w:id="42" w:name="privacy"/>
    <w:p>
      <w:pPr>
        <w:pStyle w:val="Heading2"/>
      </w:pPr>
      <w:r>
        <w:t xml:space="preserve">11. Privacy</w:t>
      </w:r>
    </w:p>
    <w:p>
      <w:pPr>
        <w:pStyle w:val="FirstParagraph"/>
      </w:pPr>
      <w:r>
        <w:t xml:space="preserve">PureTask handles your phone number and message content per the</w:t>
      </w:r>
      <w:r>
        <w:t xml:space="preserve"> </w:t>
      </w:r>
      <w:hyperlink r:id="rId20">
        <w:r>
          <w:rPr>
            <w:rStyle w:val="Hyperlink"/>
            <w:bCs/>
            <w:b/>
          </w:rPr>
          <w:t xml:space="preserve">Privacy Policy</w:t>
        </w:r>
      </w:hyperlink>
      <w:r>
        <w:t xml:space="preserve">. We do not sell or share your phone number for the marketing purposes of other companies. We share it with our service providers (Twilio, OneSignal, SMS gateways) solely to deliver messages on our behalf, under contractual confidentiality and security obligations (</w:t>
      </w:r>
      <w:r>
        <w:rPr>
          <w:bCs/>
          <w:b/>
        </w:rPr>
        <w:t xml:space="preserve">Data Processing Addendum</w:t>
      </w:r>
      <w:r>
        <w:t xml:space="preserve">).</w:t>
      </w:r>
    </w:p>
    <w:p>
      <w:r>
        <w:pict>
          <v:rect style="width:0;height:1.5pt" o:hralign="center" o:hrstd="t" o:hr="t"/>
        </w:pict>
      </w:r>
    </w:p>
    <w:bookmarkEnd w:id="42"/>
    <w:bookmarkStart w:id="43" w:name="X8e091dd2fefadeb71a429ef793fee3c17487302"/>
    <w:p>
      <w:pPr>
        <w:pStyle w:val="Heading2"/>
      </w:pPr>
      <w:r>
        <w:t xml:space="preserve">12. Recordkeeping; Your Right to Access Your Consent Record</w:t>
      </w:r>
    </w:p>
    <w:p>
      <w:pPr>
        <w:pStyle w:val="FirstParagraph"/>
      </w:pPr>
      <w:r>
        <w:t xml:space="preserve">PureTask retains records of your SMS consent, including:</w:t>
      </w:r>
    </w:p>
    <w:p>
      <w:pPr>
        <w:numPr>
          <w:ilvl w:val="0"/>
          <w:numId w:val="1008"/>
        </w:numPr>
        <w:pStyle w:val="Compact"/>
      </w:pPr>
      <w:r>
        <w:t xml:space="preserve">The exact consent language you accepted;</w:t>
      </w:r>
    </w:p>
    <w:p>
      <w:pPr>
        <w:numPr>
          <w:ilvl w:val="0"/>
          <w:numId w:val="1008"/>
        </w:numPr>
        <w:pStyle w:val="Compact"/>
      </w:pPr>
      <w:r>
        <w:t xml:space="preserve">Timestamp of consent;</w:t>
      </w:r>
    </w:p>
    <w:p>
      <w:pPr>
        <w:numPr>
          <w:ilvl w:val="0"/>
          <w:numId w:val="1008"/>
        </w:numPr>
        <w:pStyle w:val="Compact"/>
      </w:pPr>
      <w:r>
        <w:t xml:space="preserve">IP address from which consent was given;</w:t>
      </w:r>
    </w:p>
    <w:p>
      <w:pPr>
        <w:numPr>
          <w:ilvl w:val="0"/>
          <w:numId w:val="1008"/>
        </w:numPr>
        <w:pStyle w:val="Compact"/>
      </w:pPr>
      <w:r>
        <w:t xml:space="preserve">Method of consent (signup web form, in-app settings toggle);</w:t>
      </w:r>
    </w:p>
    <w:p>
      <w:pPr>
        <w:numPr>
          <w:ilvl w:val="0"/>
          <w:numId w:val="1008"/>
        </w:numPr>
        <w:pStyle w:val="Compact"/>
      </w:pPr>
      <w:r>
        <w:t xml:space="preserve">Mobile number to which consent was tied;</w:t>
      </w:r>
    </w:p>
    <w:p>
      <w:pPr>
        <w:numPr>
          <w:ilvl w:val="0"/>
          <w:numId w:val="1008"/>
        </w:numPr>
        <w:pStyle w:val="Compact"/>
      </w:pPr>
      <w:r>
        <w:t xml:space="preserve">Any subsequent opt-out or opt-in events.</w:t>
      </w:r>
    </w:p>
    <w:p>
      <w:pPr>
        <w:pStyle w:val="FirstParagraph"/>
      </w:pPr>
      <w:r>
        <w:t xml:space="preserve">Retention period: at least</w:t>
      </w:r>
      <w:r>
        <w:t xml:space="preserve"> </w:t>
      </w:r>
      <w:r>
        <w:rPr>
          <w:bCs/>
          <w:b/>
        </w:rPr>
        <w:t xml:space="preserve">five (5) years</w:t>
      </w:r>
      <w:r>
        <w:t xml:space="preserve"> </w:t>
      </w:r>
      <w:r>
        <w:t xml:space="preserve">after consent is given or revoked, consistent with TCPA recordkeeping best practices and</w:t>
      </w:r>
      <w:r>
        <w:t xml:space="preserve"> </w:t>
      </w:r>
      <w:r>
        <w:rPr>
          <w:bCs/>
          <w:b/>
        </w:rPr>
        <w:t xml:space="preserve">47 C.F.R. § 64.1200(a)(7)</w:t>
      </w:r>
      <w:r>
        <w:t xml:space="preserve">.</w:t>
      </w:r>
    </w:p>
    <w:p>
      <w:pPr>
        <w:pStyle w:val="BodyText"/>
      </w:pPr>
      <w:r>
        <w:rPr>
          <w:bCs/>
          <w:b/>
        </w:rPr>
        <w:t xml:space="preserve">You have the right to request a copy of your consent record</w:t>
      </w:r>
      <w:r>
        <w:t xml:space="preserve"> </w:t>
      </w:r>
      <w:r>
        <w:t xml:space="preserve">at any time by emailing</w:t>
      </w:r>
      <w:r>
        <w:t xml:space="preserve"> </w:t>
      </w:r>
      <w:r>
        <w:rPr>
          <w:bCs/>
          <w:b/>
        </w:rPr>
        <w:t xml:space="preserve">otherpuretask@gmail.com</w:t>
      </w:r>
      <w:r>
        <w:t xml:space="preserve">, subject</w:t>
      </w:r>
      <w:r>
        <w:t xml:space="preserve"> </w:t>
      </w:r>
      <w:r>
        <w:t xml:space="preserve">“</w:t>
      </w:r>
      <w:r>
        <w:rPr>
          <w:bCs/>
          <w:b/>
        </w:rPr>
        <w:t xml:space="preserve">SMS Consent Record Request</w:t>
      </w:r>
      <w:r>
        <w:t xml:space="preserve">.</w:t>
      </w:r>
      <w:r>
        <w:t xml:space="preserve">”</w:t>
      </w:r>
      <w:r>
        <w:t xml:space="preserve"> </w:t>
      </w:r>
      <w:r>
        <w:t xml:space="preserve">PureTask will provide the record within</w:t>
      </w:r>
      <w:r>
        <w:t xml:space="preserve"> </w:t>
      </w:r>
      <w:r>
        <w:rPr>
          <w:bCs/>
          <w:b/>
        </w:rPr>
        <w:t xml:space="preserve">30 days</w:t>
      </w:r>
      <w:r>
        <w:t xml:space="preserve">.</w:t>
      </w:r>
    </w:p>
    <w:p>
      <w:r>
        <w:pict>
          <v:rect style="width:0;height:1.5pt" o:hralign="center" o:hrstd="t" o:hr="t"/>
        </w:pict>
      </w:r>
    </w:p>
    <w:bookmarkEnd w:id="43"/>
    <w:bookmarkStart w:id="47" w:name="X53d899cba600c6f9b208894825516d1b5b5ab90"/>
    <w:p>
      <w:pPr>
        <w:pStyle w:val="Heading2"/>
      </w:pPr>
      <w:r>
        <w:t xml:space="preserve">13. California, Texas, and Florida Specific Notices</w:t>
      </w:r>
    </w:p>
    <w:bookmarkStart w:id="44" w:name="california-1"/>
    <w:p>
      <w:pPr>
        <w:pStyle w:val="Heading3"/>
      </w:pPr>
      <w:r>
        <w:t xml:space="preserve">California</w:t>
      </w:r>
    </w:p>
    <w:p>
      <w:pPr>
        <w:pStyle w:val="FirstParagraph"/>
      </w:pPr>
      <w:r>
        <w:t xml:space="preserve">California Public Utilities Code and the</w:t>
      </w:r>
      <w:r>
        <w:t xml:space="preserve"> </w:t>
      </w:r>
      <w:r>
        <w:rPr>
          <w:bCs/>
          <w:b/>
        </w:rPr>
        <w:t xml:space="preserve">California Consumer Privacy Act / California Privacy Rights Act</w:t>
      </w:r>
      <w:r>
        <w:t xml:space="preserve"> </w:t>
      </w:r>
      <w:r>
        <w:t xml:space="preserve">apply to text messaging. You have the right to opt out of any</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your phone number for cross-context behavioral advertising, as described in the Privacy Policy. PureTask honors the</w:t>
      </w:r>
      <w:r>
        <w:t xml:space="preserve"> </w:t>
      </w:r>
      <w:r>
        <w:rPr>
          <w:bCs/>
          <w:b/>
        </w:rPr>
        <w:t xml:space="preserve">Global Privacy Control (GPC)</w:t>
      </w:r>
      <w:r>
        <w:t xml:space="preserve"> </w:t>
      </w:r>
      <w:r>
        <w:t xml:space="preserve">signal as an opt-out.</w:t>
      </w:r>
    </w:p>
    <w:bookmarkEnd w:id="44"/>
    <w:bookmarkStart w:id="45" w:name="texas"/>
    <w:p>
      <w:pPr>
        <w:pStyle w:val="Heading3"/>
      </w:pPr>
      <w:r>
        <w:t xml:space="preserve">Texas</w:t>
      </w:r>
    </w:p>
    <w:p>
      <w:pPr>
        <w:pStyle w:val="FirstParagraph"/>
      </w:pPr>
      <w:r>
        <w:t xml:space="preserve">Under the</w:t>
      </w:r>
      <w:r>
        <w:t xml:space="preserve"> </w:t>
      </w:r>
      <w:r>
        <w:rPr>
          <w:bCs/>
          <w:b/>
        </w:rPr>
        <w:t xml:space="preserve">Texas Business and Commerce Code Ch. 305</w:t>
      </w:r>
      <w:r>
        <w:t xml:space="preserve"> </w:t>
      </w:r>
      <w:r>
        <w:t xml:space="preserve">and TCPA, you have the right to revoke consent to marketing messages at any time. PureTask will honor revocation requests within ten (10) business days.</w:t>
      </w:r>
    </w:p>
    <w:bookmarkEnd w:id="45"/>
    <w:bookmarkStart w:id="46" w:name="florida"/>
    <w:p>
      <w:pPr>
        <w:pStyle w:val="Heading3"/>
      </w:pPr>
      <w:r>
        <w:t xml:space="preserve">Florida</w:t>
      </w:r>
    </w:p>
    <w:p>
      <w:pPr>
        <w:pStyle w:val="FirstParagraph"/>
      </w:pPr>
      <w:r>
        <w:t xml:space="preserve">Under the</w:t>
      </w:r>
      <w:r>
        <w:t xml:space="preserve"> </w:t>
      </w:r>
      <w:r>
        <w:rPr>
          <w:bCs/>
          <w:b/>
        </w:rPr>
        <w:t xml:space="preserve">Florida Telephone Solicitation Act (FTSA), Fla. Stat. § 501.059</w:t>
      </w:r>
      <w:r>
        <w:t xml:space="preserve">, marketing telephonic sales calls and text messages require</w:t>
      </w:r>
      <w:r>
        <w:t xml:space="preserve"> </w:t>
      </w:r>
      <w:r>
        <w:rPr>
          <w:bCs/>
          <w:b/>
        </w:rPr>
        <w:t xml:space="preserve">prior express written consent</w:t>
      </w:r>
      <w:r>
        <w:t xml:space="preserve">, and are subject to the quiet-hour and frequency restrictions in Section 3.3. PureTask’s marketing-SMS consent flow is designed to comply with FTSA. You may revoke consent at any time.</w:t>
      </w:r>
    </w:p>
    <w:p>
      <w:r>
        <w:pict>
          <v:rect style="width:0;height:1.5pt" o:hralign="center" o:hrstd="t" o:hr="t"/>
        </w:pict>
      </w:r>
    </w:p>
    <w:bookmarkEnd w:id="46"/>
    <w:bookmarkEnd w:id="47"/>
    <w:bookmarkStart w:id="48" w:name="changes"/>
    <w:p>
      <w:pPr>
        <w:pStyle w:val="Heading2"/>
      </w:pPr>
      <w:r>
        <w:t xml:space="preserve">14. Changes</w:t>
      </w:r>
    </w:p>
    <w:p>
      <w:pPr>
        <w:pStyle w:val="FirstParagraph"/>
      </w:pPr>
      <w:r>
        <w:t xml:space="preserve">PureTask may update this Disclosure. Material changes will be communicated by email or in-app notice. The</w:t>
      </w:r>
      <w:r>
        <w:t xml:space="preserve"> </w:t>
      </w:r>
      <w:r>
        <w:t xml:space="preserve">“</w:t>
      </w:r>
      <w:r>
        <w:t xml:space="preserve">Effective Date</w:t>
      </w:r>
      <w:r>
        <w:t xml:space="preserve">”</w:t>
      </w:r>
      <w:r>
        <w:t xml:space="preserve"> </w:t>
      </w:r>
      <w:r>
        <w:t xml:space="preserve">reflects the most recent revision.</w:t>
      </w:r>
    </w:p>
    <w:p>
      <w:r>
        <w:pict>
          <v:rect style="width:0;height:1.5pt" o:hralign="center" o:hrstd="t" o:hr="t"/>
        </w:pict>
      </w:r>
    </w:p>
    <w:bookmarkEnd w:id="48"/>
    <w:bookmarkStart w:id="49" w:name="contact"/>
    <w:p>
      <w:pPr>
        <w:pStyle w:val="Heading2"/>
      </w:pPr>
      <w:r>
        <w:t xml:space="preserve">15. Contact</w:t>
      </w:r>
    </w:p>
    <w:p>
      <w:pPr>
        <w:pStyle w:val="FirstParagraph"/>
      </w:pPr>
      <w:r>
        <w:rPr>
          <w:bCs/>
          <w:b/>
        </w:rPr>
        <w:t xml:space="preserve">PureTask LLC</w:t>
      </w:r>
      <w:r>
        <w:t xml:space="preserve"> </w:t>
      </w:r>
      <w:r>
        <w:rPr>
          <w:bCs/>
          <w:b/>
        </w:rPr>
        <w:t xml:space="preserve">otherpuretask@gmail.com</w:t>
      </w:r>
      <w:r>
        <w:t xml:space="preserve"> </w:t>
      </w:r>
      <w:r>
        <w:t xml:space="preserve">(subject:</w:t>
      </w:r>
      <w:r>
        <w:t xml:space="preserve"> </w:t>
      </w:r>
      <w:r>
        <w:t xml:space="preserve">“</w:t>
      </w:r>
      <w:r>
        <w:rPr>
          <w:bCs/>
          <w:b/>
        </w:rPr>
        <w:t xml:space="preserve">SMS</w:t>
      </w:r>
      <w:r>
        <w:t xml:space="preserve">”</w:t>
      </w:r>
      <w:r>
        <w:t xml:space="preserve">)</w:t>
      </w:r>
    </w:p>
    <w:p>
      <w:r>
        <w:pict>
          <v:rect style="width:0;height:1.5pt" o:hralign="center" o:hrstd="t" o:hr="t"/>
        </w:pict>
      </w:r>
    </w:p>
    <w:bookmarkEnd w:id="49"/>
    <w:bookmarkStart w:id="50" w:name="consent-acceptance"/>
    <w:p>
      <w:pPr>
        <w:pStyle w:val="Heading2"/>
      </w:pPr>
      <w:r>
        <w:t xml:space="preserve">Consent Acceptance</w:t>
      </w:r>
    </w:p>
    <w:p>
      <w:pPr>
        <w:pStyle w:val="FirstParagraph"/>
      </w:pPr>
      <w:r>
        <w:t xml:space="preserve">By providing your mobile telephone number and clicking</w:t>
      </w:r>
      <w:r>
        <w:t xml:space="preserve"> </w:t>
      </w:r>
      <w:r>
        <w:t xml:space="preserve">“</w:t>
      </w:r>
      <w:r>
        <w:rPr>
          <w:bCs/>
          <w:b/>
        </w:rPr>
        <w:t xml:space="preserve">I Accept</w:t>
      </w:r>
      <w:r>
        <w:t xml:space="preserve">”</w:t>
      </w:r>
      <w:r>
        <w:t xml:space="preserve"> </w:t>
      </w:r>
      <w:r>
        <w:t xml:space="preserve">or otherwise indicating consent in the PureTask signup flow, you acknowledge that you have read this Disclosure and consent to receive</w:t>
      </w:r>
      <w:r>
        <w:t xml:space="preserve"> </w:t>
      </w:r>
      <w:r>
        <w:rPr>
          <w:bCs/>
          <w:b/>
        </w:rPr>
        <w:t xml:space="preserve">transactional text messages</w:t>
      </w:r>
      <w:r>
        <w:t xml:space="preserve"> </w:t>
      </w:r>
      <w:r>
        <w:t xml:space="preserve">from PureTask.</w:t>
      </w:r>
    </w:p>
    <w:p>
      <w:pPr>
        <w:pStyle w:val="BodyText"/>
      </w:pPr>
      <w:r>
        <w:t xml:space="preserve">You separately consent to receive</w:t>
      </w:r>
      <w:r>
        <w:t xml:space="preserve"> </w:t>
      </w:r>
      <w:r>
        <w:rPr>
          <w:bCs/>
          <w:b/>
        </w:rPr>
        <w:t xml:space="preserve">marketing text messages</w:t>
      </w:r>
      <w:r>
        <w:t xml:space="preserve"> </w:t>
      </w:r>
      <w:r>
        <w:t xml:space="preserve">only if you affirmatively check the marketing opt-in box. Failure to check that box means you have</w:t>
      </w:r>
      <w:r>
        <w:t xml:space="preserve"> </w:t>
      </w:r>
      <w:r>
        <w:rPr>
          <w:bCs/>
          <w:b/>
        </w:rPr>
        <w:t xml:space="preserve">not</w:t>
      </w:r>
      <w:r>
        <w:t xml:space="preserve"> </w:t>
      </w:r>
      <w:r>
        <w:t xml:space="preserve">consented to marketing messages.</w:t>
      </w:r>
    </w:p>
    <w:p>
      <w:pPr>
        <w:pStyle w:val="BodyText"/>
      </w:pPr>
      <w:r>
        <w:rPr>
          <w:bCs/>
          <w:b/>
        </w:rPr>
        <w:t xml:space="preserve">Transactional Consent (Required):</w:t>
      </w:r>
      <w:r>
        <w:t xml:space="preserve"> </w:t>
      </w:r>
      <w:r>
        <w:t xml:space="preserve">☐ I consent to receive transactional SMS messages from PureTask at the mobile number I provided.</w:t>
      </w:r>
    </w:p>
    <w:p>
      <w:pPr>
        <w:pStyle w:val="BodyText"/>
      </w:pPr>
      <w:r>
        <w:rPr>
          <w:bCs/>
          <w:b/>
        </w:rPr>
        <w:t xml:space="preserve">Marketing Consent (Optional):</w:t>
      </w:r>
      <w:r>
        <w:t xml:space="preserve"> </w:t>
      </w:r>
      <w:r>
        <w:t xml:space="preserve">☐ I expressly consent to receive marketing SMS messages from PureTask at the mobile number I provided. I understand this consent is not a condition of using the Platform.</w:t>
      </w:r>
    </w:p>
    <w:p>
      <w:pPr>
        <w:pStyle w:val="BodyText"/>
      </w:pPr>
      <w:r>
        <w:rPr>
          <w:bCs/>
          <w:b/>
        </w:rPr>
        <w:t xml:space="preserve">Signature / Electronic Acceptance:</w:t>
      </w:r>
      <w:r>
        <w:t xml:space="preserve"> </w:t>
      </w:r>
      <w:r>
        <w:t xml:space="preserve">_____________________________</w:t>
      </w:r>
      <w:r>
        <w:t xml:space="preserve"> </w:t>
      </w:r>
      <w:r>
        <w:rPr>
          <w:bCs/>
          <w:b/>
        </w:rPr>
        <w:t xml:space="preserve">Date:</w:t>
      </w:r>
      <w:r>
        <w:t xml:space="preserve"> </w:t>
      </w:r>
      <w:r>
        <w:t xml:space="preserve">_____________________________</w:t>
      </w:r>
    </w:p>
    <w:p>
      <w:r>
        <w:pict>
          <v:rect style="width:0;height:1.5pt" o:hralign="center" o:hrstd="t" o:hr="t"/>
        </w:pict>
      </w:r>
    </w:p>
    <w:p>
      <w:pPr>
        <w:pStyle w:val="FirstParagraph"/>
      </w:pPr>
      <w:r>
        <w:rPr>
          <w:iCs/>
          <w:i/>
        </w:rPr>
        <w:t xml:space="preserve">This document is a general template. It is not legal advice. The TCPA and the Florida Telephone Solicitation Act create significant class-action liability ($500–$1,500 per violation under TCPA; similar damages under FTSA). Please have a licensed attorney with TCPA experience review your specific consent flow and message templates before going live.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legal/privacy" TargetMode="External" /><Relationship Type="http://schemas.openxmlformats.org/officeDocument/2006/relationships/hyperlink" Id="rId21" Target="/legal/terms" TargetMode="External" /></Relationships>
</file>

<file path=word/_rels/footnotes.xml.rels><?xml version="1.0" encoding="UTF-8"?><Relationships xmlns="http://schemas.openxmlformats.org/package/2006/relationships"><Relationship Type="http://schemas.openxmlformats.org/officeDocument/2006/relationships/hyperlink" Id="rId20" Target="/legal/privacy" TargetMode="External" /><Relationship Type="http://schemas.openxmlformats.org/officeDocument/2006/relationships/hyperlink" Id="rId21" Target="/legal/te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2026-05-17T15:21:08Z</dcterms:created>
  <dcterms:modified xsi:type="dcterms:W3CDTF">2026-05-17T15:21:08Z</dcterms:modified>
</cp:coreProperties>
</file>

<file path=docProps/custom.xml><?xml version="1.0" encoding="utf-8"?>
<Properties xmlns="http://schemas.openxmlformats.org/officeDocument/2006/custom-properties" xmlns:vt="http://schemas.openxmlformats.org/officeDocument/2006/docPropsVTypes"/>
</file>