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puretask-accessibility-statement"/>
    <w:p>
      <w:pPr>
        <w:pStyle w:val="Heading1"/>
      </w:pPr>
      <w:r>
        <w:t xml:space="preserve">PureTask — Accessibility Statement</w:t>
      </w:r>
    </w:p>
    <w:p>
      <w:pPr>
        <w:pStyle w:val="FirstParagraph"/>
      </w:pPr>
      <w:r>
        <w:rPr>
          <w:bCs/>
          <w:b/>
        </w:rPr>
        <w:t xml:space="preserve">Effective Date:</w:t>
      </w:r>
      <w:r>
        <w:t xml:space="preserve"> </w:t>
      </w:r>
      <w:r>
        <w:t xml:space="preserve">[TO BE SET BEFORE LAUNCH]</w:t>
      </w:r>
      <w:r>
        <w:t xml:space="preserve"> </w:t>
      </w:r>
      <w:r>
        <w:rPr>
          <w:bCs/>
          <w:b/>
        </w:rPr>
        <w:t xml:space="preserve">Last Updated:</w:t>
      </w:r>
      <w:r>
        <w:t xml:space="preserve"> </w:t>
      </w:r>
      <w:r>
        <w:t xml:space="preserve">[TO BE SET BEFORE LAUNCH]</w:t>
      </w:r>
      <w:r>
        <w:t xml:space="preserve"> </w:t>
      </w:r>
      <w:r>
        <w:rPr>
          <w:bCs/>
          <w:b/>
        </w:rPr>
        <w:t xml:space="preserve">Version:</w:t>
      </w:r>
      <w:r>
        <w:t xml:space="preserve"> </w:t>
      </w:r>
      <w:r>
        <w:t xml:space="preserve">2.0</w:t>
      </w:r>
    </w:p>
    <w:p>
      <w:pPr>
        <w:pStyle w:val="BodyText"/>
      </w:pPr>
      <w:r>
        <w:rPr>
          <w:bCs/>
          <w:b/>
        </w:rPr>
        <w:t xml:space="preserve">PureTask LLC</w:t>
      </w:r>
      <w:r>
        <w:t xml:space="preserve"> </w:t>
      </w:r>
      <w:r>
        <w:t xml:space="preserve">(</w:t>
      </w:r>
      <w:r>
        <w:t xml:space="preserve">“</w:t>
      </w:r>
      <w:r>
        <w:rPr>
          <w:bCs/>
          <w:b/>
        </w:rPr>
        <w:t xml:space="preserve">PureTask</w:t>
      </w:r>
      <w:r>
        <w:t xml:space="preserve">,</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is committed to making our website, mobile applications, and the cleaning services facilitated through our Platform (the</w:t>
      </w:r>
      <w:r>
        <w:t xml:space="preserve"> </w:t>
      </w:r>
      <w:r>
        <w:t xml:space="preserve">“</w:t>
      </w:r>
      <w:r>
        <w:rPr>
          <w:bCs/>
          <w:b/>
        </w:rPr>
        <w:t xml:space="preserve">Platform</w:t>
      </w:r>
      <w:r>
        <w:t xml:space="preserve">”</w:t>
      </w:r>
      <w:r>
        <w:t xml:space="preserve">) accessible to the widest possible audience, including people with disabilities. We work to ensure that our Platform meets recognized accessibility standards and that all Users can find, request, and pay for cleaning services with dignity and independence.</w:t>
      </w:r>
    </w:p>
    <w:p>
      <w:r>
        <w:pict>
          <v:rect style="width:0;height:1.5pt" o:hralign="center" o:hrstd="t" o:hr="t"/>
        </w:pict>
      </w:r>
    </w:p>
    <w:bookmarkStart w:id="20" w:name="our-commitment"/>
    <w:p>
      <w:pPr>
        <w:pStyle w:val="Heading2"/>
      </w:pPr>
      <w:r>
        <w:t xml:space="preserve">1. Our Commitment</w:t>
      </w:r>
    </w:p>
    <w:p>
      <w:pPr>
        <w:pStyle w:val="FirstParagraph"/>
      </w:pPr>
      <w:r>
        <w:t xml:space="preserve">We are committed to:</w:t>
      </w:r>
    </w:p>
    <w:p>
      <w:pPr>
        <w:numPr>
          <w:ilvl w:val="0"/>
          <w:numId w:val="1001"/>
        </w:numPr>
        <w:pStyle w:val="Compact"/>
      </w:pPr>
      <w:r>
        <w:t xml:space="preserve">Providing equal access to information and functionality for all Users;</w:t>
      </w:r>
    </w:p>
    <w:p>
      <w:pPr>
        <w:numPr>
          <w:ilvl w:val="0"/>
          <w:numId w:val="1001"/>
        </w:numPr>
        <w:pStyle w:val="Compact"/>
      </w:pPr>
      <w:r>
        <w:t xml:space="preserve">Conforming to the</w:t>
      </w:r>
      <w:r>
        <w:t xml:space="preserve"> </w:t>
      </w:r>
      <w:r>
        <w:rPr>
          <w:bCs/>
          <w:b/>
        </w:rPr>
        <w:t xml:space="preserve">Web Content Accessibility Guidelines (WCAG) 2.1 Level AA</w:t>
      </w:r>
      <w:r>
        <w:t xml:space="preserve">, published by the World Wide Web Consortium (W3C);</w:t>
      </w:r>
    </w:p>
    <w:p>
      <w:pPr>
        <w:numPr>
          <w:ilvl w:val="0"/>
          <w:numId w:val="1001"/>
        </w:numPr>
        <w:pStyle w:val="Compact"/>
      </w:pPr>
      <w:r>
        <w:t xml:space="preserve">Continuously improving the accessibility of the Platform as standards evolve and as we learn from User feedback;</w:t>
      </w:r>
    </w:p>
    <w:p>
      <w:pPr>
        <w:numPr>
          <w:ilvl w:val="0"/>
          <w:numId w:val="1001"/>
        </w:numPr>
        <w:pStyle w:val="Compact"/>
      </w:pPr>
      <w:r>
        <w:t xml:space="preserve">Complying with the</w:t>
      </w:r>
      <w:r>
        <w:t xml:space="preserve"> </w:t>
      </w:r>
      <w:r>
        <w:rPr>
          <w:bCs/>
          <w:b/>
        </w:rPr>
        <w:t xml:space="preserve">Americans with Disabilities Act (ADA) Title III, 42 U.S.C. § 12181 et seq.</w:t>
      </w:r>
      <w:r>
        <w:t xml:space="preserve">, the</w:t>
      </w:r>
      <w:r>
        <w:t xml:space="preserve"> </w:t>
      </w:r>
      <w:r>
        <w:rPr>
          <w:bCs/>
          <w:b/>
        </w:rPr>
        <w:t xml:space="preserve">California Unruh Civil Rights Act (Cal. Civ. Code § 51)</w:t>
      </w:r>
      <w:r>
        <w:t xml:space="preserve">, the</w:t>
      </w:r>
      <w:r>
        <w:t xml:space="preserve"> </w:t>
      </w:r>
      <w:r>
        <w:rPr>
          <w:bCs/>
          <w:b/>
        </w:rPr>
        <w:t xml:space="preserve">California Disabled Persons Act (Cal. Civ. Code § 54)</w:t>
      </w:r>
      <w:r>
        <w:t xml:space="preserve">, the</w:t>
      </w:r>
      <w:r>
        <w:t xml:space="preserve"> </w:t>
      </w:r>
      <w:r>
        <w:rPr>
          <w:bCs/>
          <w:b/>
        </w:rPr>
        <w:t xml:space="preserve">Texas Human Resources Code Ch. 121</w:t>
      </w:r>
      <w:r>
        <w:t xml:space="preserve">, and the</w:t>
      </w:r>
      <w:r>
        <w:t xml:space="preserve"> </w:t>
      </w:r>
      <w:r>
        <w:rPr>
          <w:bCs/>
          <w:b/>
        </w:rPr>
        <w:t xml:space="preserve">Florida Civil Rights Act (Fla. Stat. Ch. 760)</w:t>
      </w:r>
      <w:r>
        <w:t xml:space="preserve">.</w:t>
      </w:r>
    </w:p>
    <w:p>
      <w:r>
        <w:pict>
          <v:rect style="width:0;height:1.5pt" o:hralign="center" o:hrstd="t" o:hr="t"/>
        </w:pict>
      </w:r>
    </w:p>
    <w:bookmarkEnd w:id="20"/>
    <w:bookmarkStart w:id="21" w:name="conformance-status"/>
    <w:p>
      <w:pPr>
        <w:pStyle w:val="Heading2"/>
      </w:pPr>
      <w:r>
        <w:t xml:space="preserve">2. Conformance Status</w:t>
      </w:r>
    </w:p>
    <w:p>
      <w:pPr>
        <w:pStyle w:val="FirstParagraph"/>
      </w:pPr>
      <w:r>
        <w:t xml:space="preserve">PureTask is</w:t>
      </w:r>
      <w:r>
        <w:t xml:space="preserve"> </w:t>
      </w:r>
      <w:r>
        <w:rPr>
          <w:bCs/>
          <w:b/>
        </w:rPr>
        <w:t xml:space="preserve">working toward conformance</w:t>
      </w:r>
      <w:r>
        <w:t xml:space="preserve"> </w:t>
      </w:r>
      <w:r>
        <w:t xml:space="preserve">with WCAG 2.1 Level AA. This means we are progressively reviewing and updating the Platform to meet these guidelines, with the goal of full conformance.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Standard</w:t>
            </w:r>
          </w:p>
        </w:tc>
        <w:tc>
          <w:tcPr/>
          <w:p>
            <w:pPr>
              <w:pStyle w:val="Compact"/>
              <w:jc w:val="left"/>
            </w:pPr>
            <w:r>
              <w:t xml:space="preserve">Current Status</w:t>
            </w:r>
          </w:p>
        </w:tc>
      </w:tr>
      <w:tr>
        <w:tc>
          <w:tcPr/>
          <w:p>
            <w:pPr>
              <w:pStyle w:val="Compact"/>
              <w:jc w:val="left"/>
            </w:pPr>
            <w:r>
              <w:t xml:space="preserve">WCAG 2.1 Level A</w:t>
            </w:r>
          </w:p>
        </w:tc>
        <w:tc>
          <w:tcPr/>
          <w:p>
            <w:pPr>
              <w:pStyle w:val="Compact"/>
              <w:jc w:val="left"/>
            </w:pPr>
            <w:r>
              <w:t xml:space="preserve">Substantially conformant</w:t>
            </w:r>
          </w:p>
        </w:tc>
      </w:tr>
      <w:tr>
        <w:tc>
          <w:tcPr/>
          <w:p>
            <w:pPr>
              <w:pStyle w:val="Compact"/>
              <w:jc w:val="left"/>
            </w:pPr>
            <w:r>
              <w:t xml:space="preserve">WCAG 2.1 Level AA</w:t>
            </w:r>
          </w:p>
        </w:tc>
        <w:tc>
          <w:tcPr/>
          <w:p>
            <w:pPr>
              <w:pStyle w:val="Compact"/>
              <w:jc w:val="left"/>
            </w:pPr>
            <w:r>
              <w:t xml:space="preserve">Partially conformant; remediation in progress</w:t>
            </w:r>
          </w:p>
        </w:tc>
      </w:tr>
      <w:tr>
        <w:tc>
          <w:tcPr/>
          <w:p>
            <w:pPr>
              <w:pStyle w:val="Compact"/>
              <w:jc w:val="left"/>
            </w:pPr>
            <w:r>
              <w:t xml:space="preserve">WCAG 2.1 Level AAA</w:t>
            </w:r>
          </w:p>
        </w:tc>
        <w:tc>
          <w:tcPr/>
          <w:p>
            <w:pPr>
              <w:pStyle w:val="Compact"/>
              <w:jc w:val="left"/>
            </w:pPr>
            <w:r>
              <w:t xml:space="preserve">Aspirational</w:t>
            </w:r>
          </w:p>
        </w:tc>
      </w:tr>
    </w:tbl>
    <w:p>
      <w:pPr>
        <w:pStyle w:val="BodyText"/>
      </w:pPr>
      <w:r>
        <w:rPr>
          <w:bCs/>
          <w:b/>
        </w:rPr>
        <w:t xml:space="preserve">Partially conformant</w:t>
      </w:r>
      <w:r>
        <w:t xml:space="preserve"> </w:t>
      </w:r>
      <w:r>
        <w:t xml:space="preserve">means some parts of the Platform do not fully conform. Known issues are listed in Section 4.</w:t>
      </w:r>
    </w:p>
    <w:p>
      <w:r>
        <w:pict>
          <v:rect style="width:0;height:1.5pt" o:hralign="center" o:hrstd="t" o:hr="t"/>
        </w:pict>
      </w:r>
    </w:p>
    <w:bookmarkEnd w:id="21"/>
    <w:bookmarkStart w:id="22" w:name="accessibility-features"/>
    <w:p>
      <w:pPr>
        <w:pStyle w:val="Heading2"/>
      </w:pPr>
      <w:r>
        <w:t xml:space="preserve">3. Accessibility Features</w:t>
      </w:r>
    </w:p>
    <w:p>
      <w:pPr>
        <w:pStyle w:val="FirstParagraph"/>
      </w:pPr>
      <w:r>
        <w:t xml:space="preserve">Where supported, the Platform aims to include:</w:t>
      </w:r>
    </w:p>
    <w:p>
      <w:pPr>
        <w:numPr>
          <w:ilvl w:val="0"/>
          <w:numId w:val="1002"/>
        </w:numPr>
        <w:pStyle w:val="Compact"/>
      </w:pPr>
      <w:r>
        <w:rPr>
          <w:bCs/>
          <w:b/>
        </w:rPr>
        <w:t xml:space="preserve">Semantic HTML</w:t>
      </w:r>
      <w:r>
        <w:t xml:space="preserve"> </w:t>
      </w:r>
      <w:r>
        <w:t xml:space="preserve">for screen-reader compatibility;</w:t>
      </w:r>
    </w:p>
    <w:p>
      <w:pPr>
        <w:numPr>
          <w:ilvl w:val="0"/>
          <w:numId w:val="1002"/>
        </w:numPr>
        <w:pStyle w:val="Compact"/>
      </w:pPr>
      <w:r>
        <w:rPr>
          <w:bCs/>
          <w:b/>
        </w:rPr>
        <w:t xml:space="preserve">Sufficient color contrast</w:t>
      </w:r>
      <w:r>
        <w:t xml:space="preserve"> </w:t>
      </w:r>
      <w:r>
        <w:t xml:space="preserve">between text and background;</w:t>
      </w:r>
    </w:p>
    <w:p>
      <w:pPr>
        <w:numPr>
          <w:ilvl w:val="0"/>
          <w:numId w:val="1002"/>
        </w:numPr>
        <w:pStyle w:val="Compact"/>
      </w:pPr>
      <w:r>
        <w:rPr>
          <w:bCs/>
          <w:b/>
        </w:rPr>
        <w:t xml:space="preserve">Keyboard navigation</w:t>
      </w:r>
      <w:r>
        <w:t xml:space="preserve"> </w:t>
      </w:r>
      <w:r>
        <w:t xml:space="preserve">for all interactive elements;</w:t>
      </w:r>
    </w:p>
    <w:p>
      <w:pPr>
        <w:numPr>
          <w:ilvl w:val="0"/>
          <w:numId w:val="1002"/>
        </w:numPr>
        <w:pStyle w:val="Compact"/>
      </w:pPr>
      <w:r>
        <w:rPr>
          <w:bCs/>
          <w:b/>
        </w:rPr>
        <w:t xml:space="preserve">Alternative text</w:t>
      </w:r>
      <w:r>
        <w:t xml:space="preserve"> </w:t>
      </w:r>
      <w:r>
        <w:t xml:space="preserve">for meaningful images;</w:t>
      </w:r>
    </w:p>
    <w:p>
      <w:pPr>
        <w:numPr>
          <w:ilvl w:val="0"/>
          <w:numId w:val="1002"/>
        </w:numPr>
        <w:pStyle w:val="Compact"/>
      </w:pPr>
      <w:r>
        <w:rPr>
          <w:bCs/>
          <w:b/>
        </w:rPr>
        <w:t xml:space="preserve">Form labels</w:t>
      </w:r>
      <w:r>
        <w:t xml:space="preserve"> </w:t>
      </w:r>
      <w:r>
        <w:t xml:space="preserve">associated with form fields;</w:t>
      </w:r>
    </w:p>
    <w:p>
      <w:pPr>
        <w:numPr>
          <w:ilvl w:val="0"/>
          <w:numId w:val="1002"/>
        </w:numPr>
        <w:pStyle w:val="Compact"/>
      </w:pPr>
      <w:r>
        <w:rPr>
          <w:bCs/>
          <w:b/>
        </w:rPr>
        <w:t xml:space="preserve">Resizable text</w:t>
      </w:r>
      <w:r>
        <w:t xml:space="preserve"> </w:t>
      </w:r>
      <w:r>
        <w:t xml:space="preserve">without loss of content or functionality;</w:t>
      </w:r>
    </w:p>
    <w:p>
      <w:pPr>
        <w:numPr>
          <w:ilvl w:val="0"/>
          <w:numId w:val="1002"/>
        </w:numPr>
        <w:pStyle w:val="Compact"/>
      </w:pPr>
      <w:r>
        <w:rPr>
          <w:bCs/>
          <w:b/>
        </w:rPr>
        <w:t xml:space="preserve">Skip-to-content</w:t>
      </w:r>
      <w:r>
        <w:t xml:space="preserve"> </w:t>
      </w:r>
      <w:r>
        <w:t xml:space="preserve">links on key pages;</w:t>
      </w:r>
    </w:p>
    <w:p>
      <w:pPr>
        <w:numPr>
          <w:ilvl w:val="0"/>
          <w:numId w:val="1002"/>
        </w:numPr>
        <w:pStyle w:val="Compact"/>
      </w:pPr>
      <w:r>
        <w:rPr>
          <w:bCs/>
          <w:b/>
        </w:rPr>
        <w:t xml:space="preserve">ARIA landmarks and roles</w:t>
      </w:r>
      <w:r>
        <w:t xml:space="preserve"> </w:t>
      </w:r>
      <w:r>
        <w:t xml:space="preserve">where appropriate;</w:t>
      </w:r>
    </w:p>
    <w:p>
      <w:pPr>
        <w:numPr>
          <w:ilvl w:val="0"/>
          <w:numId w:val="1002"/>
        </w:numPr>
        <w:pStyle w:val="Compact"/>
      </w:pPr>
      <w:r>
        <w:rPr>
          <w:bCs/>
          <w:b/>
        </w:rPr>
        <w:t xml:space="preserve">Captions or transcripts</w:t>
      </w:r>
      <w:r>
        <w:t xml:space="preserve"> </w:t>
      </w:r>
      <w:r>
        <w:t xml:space="preserve">for video content (when video is added);</w:t>
      </w:r>
    </w:p>
    <w:p>
      <w:pPr>
        <w:numPr>
          <w:ilvl w:val="0"/>
          <w:numId w:val="1002"/>
        </w:numPr>
        <w:pStyle w:val="Compact"/>
      </w:pPr>
      <w:r>
        <w:rPr>
          <w:bCs/>
          <w:b/>
        </w:rPr>
        <w:t xml:space="preserve">No reliance on color alone</w:t>
      </w:r>
      <w:r>
        <w:t xml:space="preserve"> </w:t>
      </w:r>
      <w:r>
        <w:t xml:space="preserve">to convey information;</w:t>
      </w:r>
    </w:p>
    <w:p>
      <w:pPr>
        <w:numPr>
          <w:ilvl w:val="0"/>
          <w:numId w:val="1002"/>
        </w:numPr>
        <w:pStyle w:val="Compact"/>
      </w:pPr>
      <w:r>
        <w:rPr>
          <w:bCs/>
          <w:b/>
        </w:rPr>
        <w:t xml:space="preserve">Mobile accessibility</w:t>
      </w:r>
      <w:r>
        <w:t xml:space="preserve"> </w:t>
      </w:r>
      <w:r>
        <w:t xml:space="preserve">features supporting VoiceOver (iOS) and TalkBack (Android);</w:t>
      </w:r>
    </w:p>
    <w:p>
      <w:pPr>
        <w:numPr>
          <w:ilvl w:val="0"/>
          <w:numId w:val="1002"/>
        </w:numPr>
        <w:pStyle w:val="Compact"/>
      </w:pPr>
      <w:r>
        <w:rPr>
          <w:bCs/>
          <w:b/>
        </w:rPr>
        <w:t xml:space="preserve">Reduced motion</w:t>
      </w:r>
      <w:r>
        <w:t xml:space="preserve"> </w:t>
      </w:r>
      <w:r>
        <w:t xml:space="preserve">support honoring</w:t>
      </w:r>
      <w:r>
        <w:t xml:space="preserve"> </w:t>
      </w:r>
      <w:r>
        <w:rPr>
          <w:rStyle w:val="VerbatimChar"/>
        </w:rPr>
        <w:t xml:space="preserve">prefers-reduced-motion</w:t>
      </w:r>
      <w:r>
        <w:t xml:space="preserve"> </w:t>
      </w:r>
      <w:r>
        <w:t xml:space="preserve">for animations.</w:t>
      </w:r>
    </w:p>
    <w:p>
      <w:r>
        <w:pict>
          <v:rect style="width:0;height:1.5pt" o:hralign="center" o:hrstd="t" o:hr="t"/>
        </w:pict>
      </w:r>
    </w:p>
    <w:bookmarkEnd w:id="22"/>
    <w:bookmarkStart w:id="23" w:name="known-issues"/>
    <w:p>
      <w:pPr>
        <w:pStyle w:val="Heading2"/>
      </w:pPr>
      <w:r>
        <w:t xml:space="preserve">4. Known Issues</w:t>
      </w:r>
    </w:p>
    <w:p>
      <w:pPr>
        <w:pStyle w:val="FirstParagraph"/>
      </w:pPr>
      <w:r>
        <w:t xml:space="preserve">We are aware of the following accessibility limitations and are actively working to address them:</w:t>
      </w:r>
    </w:p>
    <w:p>
      <w:pPr>
        <w:numPr>
          <w:ilvl w:val="0"/>
          <w:numId w:val="1003"/>
        </w:numPr>
        <w:pStyle w:val="Compact"/>
      </w:pPr>
      <w:r>
        <w:t xml:space="preserve">[TO BE UPDATED AFTER FIRST ACCESSIBILITY AUDIT — examples might include: certain modal dialogs lack focus traps; some custom-styled controls have incomplete ARIA attributes; older blog posts may lack image alt text.]</w:t>
      </w:r>
    </w:p>
    <w:p>
      <w:pPr>
        <w:pStyle w:val="FirstParagraph"/>
      </w:pPr>
      <w:r>
        <w:t xml:space="preserve">Report additional accessibility barriers via the contact information in Section 7.</w:t>
      </w:r>
    </w:p>
    <w:p>
      <w:r>
        <w:pict>
          <v:rect style="width:0;height:1.5pt" o:hralign="center" o:hrstd="t" o:hr="t"/>
        </w:pict>
      </w:r>
    </w:p>
    <w:bookmarkEnd w:id="23"/>
    <w:bookmarkStart w:id="24" w:name="assistive-technology-compatibility"/>
    <w:p>
      <w:pPr>
        <w:pStyle w:val="Heading2"/>
      </w:pPr>
      <w:r>
        <w:t xml:space="preserve">5. Assistive Technology Compatibility</w:t>
      </w:r>
    </w:p>
    <w:p>
      <w:pPr>
        <w:pStyle w:val="FirstParagraph"/>
      </w:pPr>
      <w:r>
        <w:t xml:space="preserve">The Platform is designed to be compatible with recent versions of:</w:t>
      </w:r>
    </w:p>
    <w:p>
      <w:pPr>
        <w:numPr>
          <w:ilvl w:val="0"/>
          <w:numId w:val="1004"/>
        </w:numPr>
        <w:pStyle w:val="Compact"/>
      </w:pPr>
      <w:r>
        <w:rPr>
          <w:bCs/>
          <w:b/>
        </w:rPr>
        <w:t xml:space="preserve">Screen readers</w:t>
      </w:r>
      <w:r>
        <w:t xml:space="preserve">: NVDA, JAWS (Windows); VoiceOver (macOS, iOS); TalkBack (Android);</w:t>
      </w:r>
    </w:p>
    <w:p>
      <w:pPr>
        <w:numPr>
          <w:ilvl w:val="0"/>
          <w:numId w:val="1004"/>
        </w:numPr>
        <w:pStyle w:val="Compact"/>
      </w:pPr>
      <w:r>
        <w:rPr>
          <w:bCs/>
          <w:b/>
        </w:rPr>
        <w:t xml:space="preserve">Browsers</w:t>
      </w:r>
      <w:r>
        <w:t xml:space="preserve">: Chrome, Safari, Firefox, Edge (current and one previous major version);</w:t>
      </w:r>
    </w:p>
    <w:p>
      <w:pPr>
        <w:numPr>
          <w:ilvl w:val="0"/>
          <w:numId w:val="1004"/>
        </w:numPr>
        <w:pStyle w:val="Compact"/>
      </w:pPr>
      <w:r>
        <w:rPr>
          <w:bCs/>
          <w:b/>
        </w:rPr>
        <w:t xml:space="preserve">Speech recognition software</w:t>
      </w:r>
      <w:r>
        <w:t xml:space="preserve">: Dragon NaturallySpeaking; macOS Voice Control;</w:t>
      </w:r>
    </w:p>
    <w:p>
      <w:pPr>
        <w:numPr>
          <w:ilvl w:val="0"/>
          <w:numId w:val="1004"/>
        </w:numPr>
        <w:pStyle w:val="Compact"/>
      </w:pPr>
      <w:r>
        <w:rPr>
          <w:bCs/>
          <w:b/>
        </w:rPr>
        <w:t xml:space="preserve">Magnification software</w:t>
      </w:r>
      <w:r>
        <w:t xml:space="preserve">: ZoomText; built-in OS magnifiers.</w:t>
      </w:r>
    </w:p>
    <w:p>
      <w:pPr>
        <w:pStyle w:val="FirstParagraph"/>
      </w:pPr>
      <w:r>
        <w:t xml:space="preserve">If you experience compatibility issues with a specific assistive technology, please let us know.</w:t>
      </w:r>
    </w:p>
    <w:p>
      <w:r>
        <w:pict>
          <v:rect style="width:0;height:1.5pt" o:hralign="center" o:hrstd="t" o:hr="t"/>
        </w:pict>
      </w:r>
    </w:p>
    <w:bookmarkEnd w:id="24"/>
    <w:bookmarkStart w:id="25" w:name="alternative-formats"/>
    <w:p>
      <w:pPr>
        <w:pStyle w:val="Heading2"/>
      </w:pPr>
      <w:r>
        <w:t xml:space="preserve">6. Alternative Formats</w:t>
      </w:r>
    </w:p>
    <w:p>
      <w:pPr>
        <w:pStyle w:val="FirstParagraph"/>
      </w:pPr>
      <w:r>
        <w:t xml:space="preserve">Upon request, we will provide PureTask content (including the Terms of Service, Privacy Policy, this Accessibility Statement, and other key Platform documents) in alternative formats, including:</w:t>
      </w:r>
    </w:p>
    <w:p>
      <w:pPr>
        <w:numPr>
          <w:ilvl w:val="0"/>
          <w:numId w:val="1005"/>
        </w:numPr>
        <w:pStyle w:val="Compact"/>
      </w:pPr>
      <w:r>
        <w:rPr>
          <w:bCs/>
          <w:b/>
        </w:rPr>
        <w:t xml:space="preserve">Large print</w:t>
      </w:r>
      <w:r>
        <w:t xml:space="preserve"> </w:t>
      </w:r>
      <w:r>
        <w:t xml:space="preserve">(digital or, by special arrangement, printed and mailed);</w:t>
      </w:r>
    </w:p>
    <w:p>
      <w:pPr>
        <w:numPr>
          <w:ilvl w:val="0"/>
          <w:numId w:val="1005"/>
        </w:numPr>
        <w:pStyle w:val="Compact"/>
      </w:pPr>
      <w:r>
        <w:rPr>
          <w:bCs/>
          <w:b/>
        </w:rPr>
        <w:t xml:space="preserve">Audio recordings</w:t>
      </w:r>
      <w:r>
        <w:t xml:space="preserve"> </w:t>
      </w:r>
      <w:r>
        <w:t xml:space="preserve">(machine-generated or, by special arrangement, human-narrated);</w:t>
      </w:r>
    </w:p>
    <w:p>
      <w:pPr>
        <w:numPr>
          <w:ilvl w:val="0"/>
          <w:numId w:val="1005"/>
        </w:numPr>
        <w:pStyle w:val="Compact"/>
      </w:pPr>
      <w:r>
        <w:rPr>
          <w:bCs/>
          <w:b/>
        </w:rPr>
        <w:t xml:space="preserve">Plain-text or HTML</w:t>
      </w:r>
      <w:r>
        <w:t xml:space="preserve"> </w:t>
      </w:r>
      <w:r>
        <w:t xml:space="preserve">versions optimized for screen readers;</w:t>
      </w:r>
    </w:p>
    <w:p>
      <w:pPr>
        <w:numPr>
          <w:ilvl w:val="0"/>
          <w:numId w:val="1005"/>
        </w:numPr>
        <w:pStyle w:val="Compact"/>
      </w:pPr>
      <w:r>
        <w:rPr>
          <w:bCs/>
          <w:b/>
        </w:rPr>
        <w:t xml:space="preserve">Braille</w:t>
      </w:r>
      <w:r>
        <w:t xml:space="preserve"> </w:t>
      </w:r>
      <w:r>
        <w:t xml:space="preserve">(by special arrangement, with reasonable lead time and at no charge to the User).</w:t>
      </w:r>
    </w:p>
    <w:p>
      <w:pPr>
        <w:pStyle w:val="FirstParagraph"/>
      </w:pPr>
      <w:r>
        <w:t xml:space="preserve">To request an alternative format, contact us per Section 7 with the subject</w:t>
      </w:r>
      <w:r>
        <w:t xml:space="preserve"> </w:t>
      </w:r>
      <w:r>
        <w:t xml:space="preserve">“</w:t>
      </w:r>
      <w:r>
        <w:rPr>
          <w:bCs/>
          <w:b/>
        </w:rPr>
        <w:t xml:space="preserve">Alternative Format Request</w:t>
      </w:r>
      <w:r>
        <w:t xml:space="preserve">.</w:t>
      </w:r>
      <w:r>
        <w:t xml:space="preserve">”</w:t>
      </w:r>
      <w:r>
        <w:t xml:space="preserve"> </w:t>
      </w:r>
      <w:r>
        <w:t xml:space="preserve">We aim to deliver within</w:t>
      </w:r>
      <w:r>
        <w:t xml:space="preserve"> </w:t>
      </w:r>
      <w:r>
        <w:rPr>
          <w:bCs/>
          <w:b/>
        </w:rPr>
        <w:t xml:space="preserve">10 business days</w:t>
      </w:r>
      <w:r>
        <w:t xml:space="preserve">.</w:t>
      </w:r>
    </w:p>
    <w:p>
      <w:r>
        <w:pict>
          <v:rect style="width:0;height:1.5pt" o:hralign="center" o:hrstd="t" o:hr="t"/>
        </w:pict>
      </w:r>
    </w:p>
    <w:bookmarkEnd w:id="25"/>
    <w:bookmarkStart w:id="26" w:name="feedback-and-contact"/>
    <w:p>
      <w:pPr>
        <w:pStyle w:val="Heading2"/>
      </w:pPr>
      <w:r>
        <w:t xml:space="preserve">7. Feedback and Contact</w:t>
      </w:r>
    </w:p>
    <w:p>
      <w:pPr>
        <w:pStyle w:val="FirstParagraph"/>
      </w:pPr>
      <w:r>
        <w:t xml:space="preserve">We welcome your feedback on the accessibility of PureTask.</w:t>
      </w:r>
    </w:p>
    <w:p>
      <w:pPr>
        <w:pStyle w:val="BodyText"/>
      </w:pPr>
      <w:r>
        <w:t xml:space="preserve">If you encounter an accessibility barrier, need information in an alternative format, or have suggestions for improvement, please contact:</w:t>
      </w:r>
    </w:p>
    <w:p>
      <w:pPr>
        <w:pStyle w:val="BodyText"/>
      </w:pPr>
      <w:r>
        <w:rPr>
          <w:bCs/>
          <w:b/>
        </w:rPr>
        <w:t xml:space="preserve">PureTask Accessibility Team</w:t>
      </w:r>
      <w:r>
        <w:t xml:space="preserve"> </w:t>
      </w:r>
      <w:r>
        <w:t xml:space="preserve">Email:</w:t>
      </w:r>
      <w:r>
        <w:t xml:space="preserve"> </w:t>
      </w:r>
      <w:r>
        <w:rPr>
          <w:bCs/>
          <w:b/>
        </w:rPr>
        <w:t xml:space="preserve">otherpuretask@gmail.com</w:t>
      </w:r>
      <w:r>
        <w:t xml:space="preserve"> </w:t>
      </w:r>
      <w:r>
        <w:t xml:space="preserve">Subject line:</w:t>
      </w:r>
      <w:r>
        <w:t xml:space="preserve"> </w:t>
      </w:r>
      <w:r>
        <w:rPr>
          <w:bCs/>
          <w:b/>
        </w:rPr>
        <w:t xml:space="preserve">“</w:t>
      </w:r>
      <w:r>
        <w:rPr>
          <w:bCs/>
          <w:b/>
        </w:rPr>
        <w:t xml:space="preserve">Accessibility</w:t>
      </w:r>
      <w:r>
        <w:rPr>
          <w:bCs/>
          <w:b/>
        </w:rPr>
        <w:t xml:space="preserve">”</w:t>
      </w:r>
    </w:p>
    <w:p>
      <w:pPr>
        <w:pStyle w:val="BodyText"/>
      </w:pPr>
      <w:r>
        <w:rPr>
          <w:bCs/>
          <w:b/>
        </w:rPr>
        <w:t xml:space="preserve">TTY / Telecommunications Relay Service</w:t>
      </w:r>
      <w:r>
        <w:t xml:space="preserve">: Users who are deaf, hard of hearing, or have a speech disability may contact us through:</w:t>
      </w:r>
      <w:r>
        <w:t xml:space="preserve"> </w:t>
      </w:r>
      <w:r>
        <w:t xml:space="preserve">-</w:t>
      </w:r>
      <w:r>
        <w:t xml:space="preserve"> </w:t>
      </w:r>
      <w:r>
        <w:rPr>
          <w:bCs/>
          <w:b/>
        </w:rPr>
        <w:t xml:space="preserve">Federal Relay Service (711)</w:t>
      </w:r>
      <w:r>
        <w:t xml:space="preserve"> </w:t>
      </w:r>
      <w:r>
        <w:t xml:space="preserve">— dial 711 from any phone in the U.S.</w:t>
      </w:r>
      <w:r>
        <w:t xml:space="preserve"> </w:t>
      </w:r>
      <w:r>
        <w:t xml:space="preserve">-</w:t>
      </w:r>
      <w:r>
        <w:t xml:space="preserve"> </w:t>
      </w:r>
      <w:r>
        <w:rPr>
          <w:bCs/>
          <w:b/>
        </w:rPr>
        <w:t xml:space="preserve">California Relay Service</w:t>
      </w:r>
      <w:r>
        <w:t xml:space="preserve"> </w:t>
      </w:r>
      <w:r>
        <w:t xml:space="preserve">— dial 711 or (TTY) 1-800-735-2929 / (Voice) 1-800-735-2922 (https://ddtp.cpuc.ca.gov)</w:t>
      </w:r>
      <w:r>
        <w:t xml:space="preserve"> </w:t>
      </w:r>
      <w:r>
        <w:t xml:space="preserve">-</w:t>
      </w:r>
      <w:r>
        <w:t xml:space="preserve"> </w:t>
      </w:r>
      <w:r>
        <w:rPr>
          <w:bCs/>
          <w:b/>
        </w:rPr>
        <w:t xml:space="preserve">Florida Relay Service</w:t>
      </w:r>
      <w:r>
        <w:t xml:space="preserve"> </w:t>
      </w:r>
      <w:r>
        <w:t xml:space="preserve">— dial 711 or (TTY) 1-800-955-8771 / (Voice) 1-800-955-8770</w:t>
      </w:r>
      <w:r>
        <w:t xml:space="preserve"> </w:t>
      </w:r>
      <w:r>
        <w:t xml:space="preserve">-</w:t>
      </w:r>
      <w:r>
        <w:t xml:space="preserve"> </w:t>
      </w:r>
      <w:r>
        <w:rPr>
          <w:bCs/>
          <w:b/>
        </w:rPr>
        <w:t xml:space="preserve">Texas Relay Service</w:t>
      </w:r>
      <w:r>
        <w:t xml:space="preserve"> </w:t>
      </w:r>
      <w:r>
        <w:t xml:space="preserve">— dial 711 or (TTY) 1-800-735-2989 / (Voice) 1-800-735-2988</w:t>
      </w:r>
    </w:p>
    <w:p>
      <w:pPr>
        <w:pStyle w:val="BodyText"/>
      </w:pPr>
      <w:r>
        <w:t xml:space="preserve">We aim to respond to accessibility feedback within</w:t>
      </w:r>
      <w:r>
        <w:t xml:space="preserve"> </w:t>
      </w:r>
      <w:r>
        <w:rPr>
          <w:bCs/>
          <w:b/>
        </w:rPr>
        <w:t xml:space="preserve">5 business days</w:t>
      </w:r>
      <w:r>
        <w:t xml:space="preserve"> </w:t>
      </w:r>
      <w:r>
        <w:t xml:space="preserve">and to remediate confirmed barriers as quickly as reasonably possible.</w:t>
      </w:r>
    </w:p>
    <w:p>
      <w:pPr>
        <w:pStyle w:val="BodyText"/>
      </w:pPr>
      <w:r>
        <w:t xml:space="preserve">If you have not received a satisfactory response, you may also contact:</w:t>
      </w:r>
    </w:p>
    <w:p>
      <w:pPr>
        <w:numPr>
          <w:ilvl w:val="0"/>
          <w:numId w:val="1006"/>
        </w:numPr>
        <w:pStyle w:val="Compact"/>
      </w:pPr>
      <w:r>
        <w:rPr>
          <w:bCs/>
          <w:b/>
        </w:rPr>
        <w:t xml:space="preserve">U.S. Department of Justice — ADA Information Line</w:t>
      </w:r>
      <w:r>
        <w:t xml:space="preserve">: 1-800-514-0301 (voice), 1-833-610-1264 (TTY);</w:t>
      </w:r>
      <w:r>
        <w:t xml:space="preserve"> </w:t>
      </w:r>
      <w:r>
        <w:rPr>
          <w:bCs/>
          <w:b/>
        </w:rPr>
        <w:t xml:space="preserve">ada.gov</w:t>
      </w:r>
      <w:r>
        <w:t xml:space="preserve">.</w:t>
      </w:r>
    </w:p>
    <w:p>
      <w:pPr>
        <w:numPr>
          <w:ilvl w:val="0"/>
          <w:numId w:val="1006"/>
        </w:numPr>
        <w:pStyle w:val="Compact"/>
      </w:pPr>
      <w:r>
        <w:rPr>
          <w:bCs/>
          <w:b/>
        </w:rPr>
        <w:t xml:space="preserve">California Civil Rights Department</w:t>
      </w:r>
      <w:r>
        <w:t xml:space="preserve">:</w:t>
      </w:r>
      <w:r>
        <w:t xml:space="preserve"> </w:t>
      </w:r>
      <w:r>
        <w:rPr>
          <w:bCs/>
          <w:b/>
        </w:rPr>
        <w:t xml:space="preserve">calcivilrights.ca.gov</w:t>
      </w:r>
      <w:r>
        <w:t xml:space="preserve">.</w:t>
      </w:r>
    </w:p>
    <w:p>
      <w:pPr>
        <w:numPr>
          <w:ilvl w:val="0"/>
          <w:numId w:val="1006"/>
        </w:numPr>
        <w:pStyle w:val="Compact"/>
      </w:pPr>
      <w:r>
        <w:rPr>
          <w:bCs/>
          <w:b/>
        </w:rPr>
        <w:t xml:space="preserve">Texas Attorney General — Consumer Protection</w:t>
      </w:r>
      <w:r>
        <w:t xml:space="preserve">:</w:t>
      </w:r>
      <w:r>
        <w:t xml:space="preserve"> </w:t>
      </w:r>
      <w:r>
        <w:rPr>
          <w:bCs/>
          <w:b/>
        </w:rPr>
        <w:t xml:space="preserve">texasattorneygeneral.gov/consumer-protection</w:t>
      </w:r>
      <w:r>
        <w:t xml:space="preserve">.</w:t>
      </w:r>
    </w:p>
    <w:p>
      <w:pPr>
        <w:numPr>
          <w:ilvl w:val="0"/>
          <w:numId w:val="1006"/>
        </w:numPr>
        <w:pStyle w:val="Compact"/>
      </w:pPr>
      <w:r>
        <w:rPr>
          <w:bCs/>
          <w:b/>
        </w:rPr>
        <w:t xml:space="preserve">Florida Attorney General</w:t>
      </w:r>
      <w:r>
        <w:t xml:space="preserve">:</w:t>
      </w:r>
      <w:r>
        <w:t xml:space="preserve"> </w:t>
      </w:r>
      <w:r>
        <w:rPr>
          <w:bCs/>
          <w:b/>
        </w:rPr>
        <w:t xml:space="preserve">myfloridalegal.com</w:t>
      </w:r>
      <w:r>
        <w:t xml:space="preserve">.</w:t>
      </w:r>
    </w:p>
    <w:p>
      <w:r>
        <w:pict>
          <v:rect style="width:0;height:1.5pt" o:hralign="center" o:hrstd="t" o:hr="t"/>
        </w:pict>
      </w:r>
    </w:p>
    <w:bookmarkEnd w:id="26"/>
    <w:bookmarkStart w:id="27" w:name="reasonable-accommodations"/>
    <w:p>
      <w:pPr>
        <w:pStyle w:val="Heading2"/>
      </w:pPr>
      <w:r>
        <w:t xml:space="preserve">8. Reasonable Accommodations</w:t>
      </w:r>
    </w:p>
    <w:p>
      <w:pPr>
        <w:pStyle w:val="FirstParagraph"/>
      </w:pPr>
      <w:r>
        <w:t xml:space="preserve">If you need help completing a Booking or using any feature of the Platform because of a disability, contact us at</w:t>
      </w:r>
      <w:r>
        <w:t xml:space="preserve"> </w:t>
      </w:r>
      <w:r>
        <w:rPr>
          <w:bCs/>
          <w:b/>
        </w:rPr>
        <w:t xml:space="preserve">otherpuretask@gmail.com</w:t>
      </w:r>
      <w:r>
        <w:t xml:space="preserve"> </w:t>
      </w:r>
      <w:r>
        <w:t xml:space="preserve">with the subject line</w:t>
      </w:r>
      <w:r>
        <w:t xml:space="preserve"> </w:t>
      </w:r>
      <w:r>
        <w:t xml:space="preserve">“</w:t>
      </w:r>
      <w:r>
        <w:rPr>
          <w:bCs/>
          <w:b/>
        </w:rPr>
        <w:t xml:space="preserve">Accommodation Request</w:t>
      </w:r>
      <w:r>
        <w:t xml:space="preserve">.</w:t>
      </w:r>
      <w:r>
        <w:t xml:space="preserve">”</w:t>
      </w:r>
      <w:r>
        <w:t xml:space="preserve"> </w:t>
      </w:r>
      <w:r>
        <w:t xml:space="preserve">We will work with you to provide an accessible alternative, such as:</w:t>
      </w:r>
    </w:p>
    <w:p>
      <w:pPr>
        <w:numPr>
          <w:ilvl w:val="0"/>
          <w:numId w:val="1007"/>
        </w:numPr>
        <w:pStyle w:val="Compact"/>
      </w:pPr>
      <w:r>
        <w:t xml:space="preserve">Booking assistance by email or phone (transcription support, if needed);</w:t>
      </w:r>
    </w:p>
    <w:p>
      <w:pPr>
        <w:numPr>
          <w:ilvl w:val="0"/>
          <w:numId w:val="1007"/>
        </w:numPr>
        <w:pStyle w:val="Compact"/>
      </w:pPr>
      <w:r>
        <w:t xml:space="preserve">Providing booking confirmations or other information in alternative formats;</w:t>
      </w:r>
    </w:p>
    <w:p>
      <w:pPr>
        <w:numPr>
          <w:ilvl w:val="0"/>
          <w:numId w:val="1007"/>
        </w:numPr>
        <w:pStyle w:val="Compact"/>
      </w:pPr>
      <w:r>
        <w:t xml:space="preserve">Coordinating with Pros to accommodate specific access needs at your property (e.g., ramps, wheelchair-accessible entry, hearing-aid compatibility for door communication, oxygen-tank precautions, communication boards or written instructions).</w:t>
      </w:r>
    </w:p>
    <w:p>
      <w:pPr>
        <w:pStyle w:val="FirstParagraph"/>
      </w:pPr>
      <w:r>
        <w:t xml:space="preserve">We do not require disclosure of the nature of the disability; we only need to understand what accommodation would help.</w:t>
      </w:r>
    </w:p>
    <w:p>
      <w:r>
        <w:pict>
          <v:rect style="width:0;height:1.5pt" o:hralign="center" o:hrstd="t" o:hr="t"/>
        </w:pict>
      </w:r>
    </w:p>
    <w:bookmarkEnd w:id="27"/>
    <w:bookmarkStart w:id="28" w:name="service-animals-at-property-visits"/>
    <w:p>
      <w:pPr>
        <w:pStyle w:val="Heading2"/>
      </w:pPr>
      <w:r>
        <w:t xml:space="preserve">9. Service Animals at Property Visits</w:t>
      </w:r>
    </w:p>
    <w:p>
      <w:pPr>
        <w:pStyle w:val="FirstParagraph"/>
      </w:pPr>
      <w:r>
        <w:t xml:space="preserve">The ADA, Cal. Civ. Code § 54.1, and Fla. Stat. § 413.08 protect the rights of individuals with disabilities to be accompanied by</w:t>
      </w:r>
      <w:r>
        <w:t xml:space="preserve"> </w:t>
      </w:r>
      <w:r>
        <w:rPr>
          <w:bCs/>
          <w:b/>
        </w:rPr>
        <w:t xml:space="preserve">service animals</w:t>
      </w:r>
      <w:r>
        <w:t xml:space="preserve"> </w:t>
      </w:r>
      <w:r>
        <w:t xml:space="preserve">(and, in some cases, emotional support animals or psychiatric service animals) in public accommodations and housing.</w:t>
      </w:r>
    </w:p>
    <w:p>
      <w:pPr>
        <w:pStyle w:val="BodyText"/>
      </w:pPr>
      <w:r>
        <w:t xml:space="preserve">While PureTask is a marketplace platform and not the cleaning service provider, our policies require that Pros performing Pro Services at a Client’s property:</w:t>
      </w:r>
    </w:p>
    <w:p>
      <w:pPr>
        <w:numPr>
          <w:ilvl w:val="0"/>
          <w:numId w:val="1008"/>
        </w:numPr>
        <w:pStyle w:val="Compact"/>
      </w:pPr>
      <w:r>
        <w:rPr>
          <w:bCs/>
          <w:b/>
        </w:rPr>
        <w:t xml:space="preserve">Will not refuse a Booking</w:t>
      </w:r>
      <w:r>
        <w:t xml:space="preserve"> </w:t>
      </w:r>
      <w:r>
        <w:t xml:space="preserve">because of the presence of a service animal at the Client’s home;</w:t>
      </w:r>
    </w:p>
    <w:p>
      <w:pPr>
        <w:numPr>
          <w:ilvl w:val="0"/>
          <w:numId w:val="1008"/>
        </w:numPr>
        <w:pStyle w:val="Compact"/>
      </w:pPr>
      <w:r>
        <w:rPr>
          <w:bCs/>
          <w:b/>
        </w:rPr>
        <w:t xml:space="preserve">Will not require documentation</w:t>
      </w:r>
      <w:r>
        <w:t xml:space="preserve"> </w:t>
      </w:r>
      <w:r>
        <w:t xml:space="preserve">of the service animal’s certification or training beyond what the ADA permits;</w:t>
      </w:r>
    </w:p>
    <w:p>
      <w:pPr>
        <w:numPr>
          <w:ilvl w:val="0"/>
          <w:numId w:val="1008"/>
        </w:numPr>
        <w:pStyle w:val="Compact"/>
      </w:pPr>
      <w:r>
        <w:rPr>
          <w:bCs/>
          <w:b/>
        </w:rPr>
        <w:t xml:space="preserve">Will treat the service animal with reasonable care</w:t>
      </w:r>
      <w:r>
        <w:t xml:space="preserve"> </w:t>
      </w:r>
      <w:r>
        <w:t xml:space="preserve">and avoid actions that would interfere with the animal’s work;</w:t>
      </w:r>
    </w:p>
    <w:p>
      <w:pPr>
        <w:numPr>
          <w:ilvl w:val="0"/>
          <w:numId w:val="1008"/>
        </w:numPr>
        <w:pStyle w:val="Compact"/>
      </w:pPr>
      <w:r>
        <w:rPr>
          <w:bCs/>
          <w:b/>
        </w:rPr>
        <w:t xml:space="preserve">May politely ask</w:t>
      </w:r>
      <w:r>
        <w:t xml:space="preserve"> </w:t>
      </w:r>
      <w:r>
        <w:t xml:space="preserve">only the two questions permitted under ADA Title III: (1) whether the animal is required because of a disability, and (2) what work or task the animal has been trained to perform;</w:t>
      </w:r>
    </w:p>
    <w:p>
      <w:pPr>
        <w:numPr>
          <w:ilvl w:val="0"/>
          <w:numId w:val="1008"/>
        </w:numPr>
        <w:pStyle w:val="Compact"/>
      </w:pPr>
      <w:r>
        <w:rPr>
          <w:bCs/>
          <w:b/>
        </w:rPr>
        <w:t xml:space="preserve">May decline a specific Booking</w:t>
      </w:r>
      <w:r>
        <w:t xml:space="preserve"> </w:t>
      </w:r>
      <w:r>
        <w:t xml:space="preserve">based on disclosed property risks (e.g., documented severe allergy triggered by specific animal hair), but may not refuse all Bookings with service animals as a category.</w:t>
      </w:r>
    </w:p>
    <w:p>
      <w:pPr>
        <w:pStyle w:val="FirstParagraph"/>
      </w:pPr>
      <w:r>
        <w:t xml:space="preserve">Clients are encouraged to disclose the presence of a service animal at the time of booking (not as a disclosure obligation, but as a courtesy to help match with an available Pro). PureTask does not share this information beyond the assigned Pro.</w:t>
      </w:r>
    </w:p>
    <w:p>
      <w:pPr>
        <w:pStyle w:val="BodyText"/>
      </w:pPr>
      <w:r>
        <w:t xml:space="preserve">If a Pro refuses a Booking on the basis of a service animal, or otherwise fails to comply with the policies above, please report it to</w:t>
      </w:r>
      <w:r>
        <w:t xml:space="preserve"> </w:t>
      </w:r>
      <w:r>
        <w:rPr>
          <w:bCs/>
          <w:b/>
        </w:rPr>
        <w:t xml:space="preserve">otherpuretask@gmail.com</w:t>
      </w:r>
      <w:r>
        <w:t xml:space="preserve"> </w:t>
      </w:r>
      <w:r>
        <w:t xml:space="preserve">with the subject</w:t>
      </w:r>
      <w:r>
        <w:t xml:space="preserve"> </w:t>
      </w:r>
      <w:r>
        <w:t xml:space="preserve">“</w:t>
      </w:r>
      <w:r>
        <w:rPr>
          <w:bCs/>
          <w:b/>
        </w:rPr>
        <w:t xml:space="preserve">Accessibility Violation</w:t>
      </w:r>
      <w:r>
        <w:t xml:space="preserve">.</w:t>
      </w:r>
      <w:r>
        <w:t xml:space="preserve">”</w:t>
      </w:r>
      <w:r>
        <w:t xml:space="preserve"> </w:t>
      </w:r>
      <w:r>
        <w:t xml:space="preserve">Reports are investigated promptly and may result in Pro account suspension.</w:t>
      </w:r>
    </w:p>
    <w:p>
      <w:r>
        <w:pict>
          <v:rect style="width:0;height:1.5pt" o:hralign="center" o:hrstd="t" o:hr="t"/>
        </w:pict>
      </w:r>
    </w:p>
    <w:bookmarkEnd w:id="28"/>
    <w:bookmarkStart w:id="29" w:name="third-party-content"/>
    <w:p>
      <w:pPr>
        <w:pStyle w:val="Heading2"/>
      </w:pPr>
      <w:r>
        <w:t xml:space="preserve">10. Third-Party Content</w:t>
      </w:r>
    </w:p>
    <w:p>
      <w:pPr>
        <w:pStyle w:val="FirstParagraph"/>
      </w:pPr>
      <w:r>
        <w:t xml:space="preserve">Some content on the Platform may be provided by Users (e.g., Pro profile photos, reviews) or by third-party services (e.g., maps, payment forms hosted by Stripe). We do not directly control the accessibility of third-party content. We strive to choose service providers that prioritize accessibility, and we will work with Users and providers to address barriers when reported.</w:t>
      </w:r>
    </w:p>
    <w:p>
      <w:r>
        <w:pict>
          <v:rect style="width:0;height:1.5pt" o:hralign="center" o:hrstd="t" o:hr="t"/>
        </w:pict>
      </w:r>
    </w:p>
    <w:bookmarkEnd w:id="29"/>
    <w:bookmarkStart w:id="30" w:name="ongoing-improvement"/>
    <w:p>
      <w:pPr>
        <w:pStyle w:val="Heading2"/>
      </w:pPr>
      <w:r>
        <w:t xml:space="preserve">11. Ongoing Improvement</w:t>
      </w:r>
    </w:p>
    <w:p>
      <w:pPr>
        <w:pStyle w:val="FirstParagraph"/>
      </w:pPr>
      <w:r>
        <w:t xml:space="preserve">Our accessibility roadmap includes:</w:t>
      </w:r>
    </w:p>
    <w:p>
      <w:pPr>
        <w:numPr>
          <w:ilvl w:val="0"/>
          <w:numId w:val="1009"/>
        </w:numPr>
        <w:pStyle w:val="Compact"/>
      </w:pPr>
      <w:r>
        <w:rPr>
          <w:bCs/>
          <w:b/>
        </w:rPr>
        <w:t xml:space="preserve">Annual independent accessibility audits</w:t>
      </w:r>
      <w:r>
        <w:t xml:space="preserve"> </w:t>
      </w:r>
      <w:r>
        <w:t xml:space="preserve">of the Platform;</w:t>
      </w:r>
    </w:p>
    <w:p>
      <w:pPr>
        <w:numPr>
          <w:ilvl w:val="0"/>
          <w:numId w:val="1009"/>
        </w:numPr>
        <w:pStyle w:val="Compact"/>
      </w:pPr>
      <w:r>
        <w:rPr>
          <w:bCs/>
          <w:b/>
        </w:rPr>
        <w:t xml:space="preserve">Accessibility training</w:t>
      </w:r>
      <w:r>
        <w:t xml:space="preserve"> </w:t>
      </w:r>
      <w:r>
        <w:t xml:space="preserve">for any designers, developers, or content creators we engage;</w:t>
      </w:r>
    </w:p>
    <w:p>
      <w:pPr>
        <w:numPr>
          <w:ilvl w:val="0"/>
          <w:numId w:val="1009"/>
        </w:numPr>
        <w:pStyle w:val="Compact"/>
      </w:pPr>
      <w:r>
        <w:rPr>
          <w:bCs/>
          <w:b/>
        </w:rPr>
        <w:t xml:space="preserve">User testing</w:t>
      </w:r>
      <w:r>
        <w:t xml:space="preserve"> </w:t>
      </w:r>
      <w:r>
        <w:t xml:space="preserve">with people who use assistive technologies; and</w:t>
      </w:r>
    </w:p>
    <w:p>
      <w:pPr>
        <w:numPr>
          <w:ilvl w:val="0"/>
          <w:numId w:val="1009"/>
        </w:numPr>
        <w:pStyle w:val="Compact"/>
      </w:pPr>
      <w:r>
        <w:rPr>
          <w:bCs/>
          <w:b/>
        </w:rPr>
        <w:t xml:space="preserve">Periodic updates</w:t>
      </w:r>
      <w:r>
        <w:t xml:space="preserve"> </w:t>
      </w:r>
      <w:r>
        <w:t xml:space="preserve">to this Statement based on audit results and User feedback.</w:t>
      </w:r>
    </w:p>
    <w:p>
      <w:r>
        <w:pict>
          <v:rect style="width:0;height:1.5pt" o:hralign="center" o:hrstd="t" o:hr="t"/>
        </w:pict>
      </w:r>
    </w:p>
    <w:bookmarkEnd w:id="30"/>
    <w:bookmarkStart w:id="31" w:name="date-of-last-audit"/>
    <w:p>
      <w:pPr>
        <w:pStyle w:val="Heading2"/>
      </w:pPr>
      <w:r>
        <w:t xml:space="preserve">12. Date of Last Audit</w:t>
      </w:r>
    </w:p>
    <w:p>
      <w:pPr>
        <w:pStyle w:val="FirstParagraph"/>
      </w:pPr>
      <w:r>
        <w:t xml:space="preserve">This Statement was last reviewed and updated on</w:t>
      </w:r>
      <w:r>
        <w:t xml:space="preserve"> </w:t>
      </w:r>
      <w:r>
        <w:rPr>
          <w:bCs/>
          <w:b/>
        </w:rPr>
        <w:t xml:space="preserve">[DATE]</w:t>
      </w:r>
      <w:r>
        <w:t xml:space="preserve">. The most recent third-party accessibility audit was conducted on</w:t>
      </w:r>
      <w:r>
        <w:t xml:space="preserve"> </w:t>
      </w:r>
      <w:r>
        <w:rPr>
          <w:bCs/>
          <w:b/>
        </w:rPr>
        <w:t xml:space="preserve">[DATE — to be updated after first audit]</w:t>
      </w:r>
      <w:r>
        <w:t xml:space="preserve"> </w:t>
      </w:r>
      <w:r>
        <w:t xml:space="preserve">by</w:t>
      </w:r>
      <w:r>
        <w:t xml:space="preserve"> </w:t>
      </w:r>
      <w:r>
        <w:rPr>
          <w:bCs/>
          <w:b/>
        </w:rPr>
        <w:t xml:space="preserve">[AUDITOR NAME — to be updated]</w:t>
      </w:r>
      <w:r>
        <w:t xml:space="preserve">.</w:t>
      </w:r>
    </w:p>
    <w:p>
      <w:r>
        <w:pict>
          <v:rect style="width:0;height:1.5pt" o:hralign="center" o:hrstd="t" o:hr="t"/>
        </w:pict>
      </w:r>
    </w:p>
    <w:p>
      <w:pPr>
        <w:pStyle w:val="FirstParagraph"/>
      </w:pPr>
      <w:r>
        <w:rPr>
          <w:bCs/>
          <w:b/>
        </w:rPr>
        <w:t xml:space="preserve">PureTask LLC</w:t>
      </w:r>
      <w:r>
        <w:t xml:space="preserve"> </w:t>
      </w:r>
      <w:r>
        <w:t xml:space="preserve">Sacramento, California</w:t>
      </w:r>
      <w:r>
        <w:t xml:space="preserve"> </w:t>
      </w:r>
      <w:r>
        <w:rPr>
          <w:bCs/>
          <w:b/>
        </w:rPr>
        <w:t xml:space="preserve">otherpuretask@gmail.com</w:t>
      </w:r>
    </w:p>
    <w:p>
      <w:r>
        <w:pict>
          <v:rect style="width:0;height:1.5pt" o:hralign="center" o:hrstd="t" o:hr="t"/>
        </w:pict>
      </w:r>
    </w:p>
    <w:p>
      <w:pPr>
        <w:pStyle w:val="FirstParagraph"/>
      </w:pPr>
      <w:r>
        <w:rPr>
          <w:iCs/>
          <w:i/>
        </w:rPr>
        <w:t xml:space="preserve">This document is a general template. It is not legal advice. ADA Title III litigation against digital platforms is active in California and Florida specifically; please have a licensed attorney review your accessibility posture and engage a qualified accessibility auditor before launch.</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2026-05-17T15:21:08Z</dcterms:created>
  <dcterms:modified xsi:type="dcterms:W3CDTF">2026-05-17T15:21:08Z</dcterms:modified>
</cp:coreProperties>
</file>

<file path=docProps/custom.xml><?xml version="1.0" encoding="utf-8"?>
<Properties xmlns="http://schemas.openxmlformats.org/officeDocument/2006/custom-properties" xmlns:vt="http://schemas.openxmlformats.org/officeDocument/2006/docPropsVTypes"/>
</file>