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uretask-acceptable-use-policy"/>
    <w:p>
      <w:pPr>
        <w:pStyle w:val="Heading1"/>
      </w:pPr>
      <w:r>
        <w:t xml:space="preserve">PureTask — Acceptable Use Policy</w:t>
      </w:r>
    </w:p>
    <w:p>
      <w:pPr>
        <w:pStyle w:val="FirstParagraph"/>
      </w:pPr>
      <w:r>
        <w:rPr>
          <w:b/>
          <w:bCs/>
        </w:rPr>
        <w:t xml:space="preserve">Effective Date:</w:t>
      </w:r>
      <w:r>
        <w:t xml:space="preserve"> </w:t>
      </w:r>
      <w:r>
        <w:t xml:space="preserve">May 17, 2026</w:t>
      </w:r>
      <w:r>
        <w:t xml:space="preserve"> </w:t>
      </w:r>
      <w:r>
        <w:rPr>
          <w:b/>
          <w:bCs/>
        </w:rPr>
        <w:t xml:space="preserve">Version:</w:t>
      </w:r>
      <w:r>
        <w:t xml:space="preserve"> </w:t>
      </w:r>
      <w:r>
        <w:t xml:space="preserve">2.0</w:t>
      </w:r>
    </w:p>
    <w:p>
      <w:pPr>
        <w:pStyle w:val="BodyText"/>
      </w:pPr>
      <w:r>
        <w:t xml:space="preserve">This Acceptable Use Policy (“</w:t>
      </w:r>
      <w:r>
        <w:rPr>
          <w:b/>
          <w:bCs/>
        </w:rPr>
        <w:t xml:space="preserve">AUP</w:t>
      </w:r>
      <w:r>
        <w:t xml:space="preserve">”) governs your use of the PureTask Platform operated by</w:t>
      </w:r>
      <w:r>
        <w:t xml:space="preserve"> </w:t>
      </w:r>
      <w:r>
        <w:rPr>
          <w:b/>
          <w:bCs/>
        </w:rPr>
        <w:t xml:space="preserve">PureTask LLC</w:t>
      </w:r>
      <w:r>
        <w:t xml:space="preserve">. It supplements our</w:t>
      </w:r>
      <w:r>
        <w:t xml:space="preserve"> </w:t>
      </w:r>
      <w:hyperlink r:id="rId9">
        <w:r>
          <w:rPr>
            <w:rStyle w:val="Hyperlink"/>
          </w:rPr>
          <w:t xml:space="preserve">Terms of Service</w:t>
        </w:r>
      </w:hyperlink>
      <w:r>
        <w:t xml:space="preserve"> </w:t>
      </w:r>
      <w:r>
        <w:t xml:space="preserve">and applies to all Users (Clients, Pros, and visitors).</w:t>
      </w:r>
    </w:p>
    <w:p>
      <w:pPr>
        <w:pStyle w:val="BodyText"/>
      </w:pPr>
      <w:r>
        <w:t xml:space="preserve">Violations may result in content removal, warning, suspension, permanent ban, reversal of payouts, and referral to law enforcement, in our sole discretion.</w:t>
      </w:r>
    </w:p>
    <w:p>
      <w:r>
        <w:pict>
          <v:rect style="width:0;height:1.5pt" o:hralign="center" o:hrstd="t" o:hr="t"/>
        </w:pict>
      </w:r>
    </w:p>
    <w:bookmarkStart w:id="10" w:name="general-principles"/>
    <w:p>
      <w:pPr>
        <w:pStyle w:val="Heading2"/>
      </w:pPr>
      <w:r>
        <w:t xml:space="preserve">1. General Principles</w:t>
      </w:r>
    </w:p>
    <w:p>
      <w:pPr>
        <w:pStyle w:val="FirstParagraph"/>
      </w:pPr>
      <w:r>
        <w:t xml:space="preserve">You agree to use the Platform lawfully, respectfully, and in good faith. You will not use the Platform in any way that:</w:t>
      </w:r>
    </w:p>
    <w:p>
      <w:pPr>
        <w:pStyle w:val="Compact"/>
        <w:numPr>
          <w:ilvl w:val="0"/>
          <w:numId w:val="1001"/>
        </w:numPr>
      </w:pPr>
      <w:r>
        <w:t xml:space="preserve">Violates any law, regulation, court order, or third-party right;</w:t>
      </w:r>
    </w:p>
    <w:p>
      <w:pPr>
        <w:pStyle w:val="Compact"/>
        <w:numPr>
          <w:ilvl w:val="0"/>
          <w:numId w:val="1001"/>
        </w:numPr>
      </w:pPr>
      <w:r>
        <w:t xml:space="preserve">Is fraudulent, deceptive, misleading, defamatory, harassing, threatening, or hateful;</w:t>
      </w:r>
    </w:p>
    <w:p>
      <w:pPr>
        <w:pStyle w:val="Compact"/>
        <w:numPr>
          <w:ilvl w:val="0"/>
          <w:numId w:val="1001"/>
        </w:numPr>
      </w:pPr>
      <w:r>
        <w:t xml:space="preserve">Endangers the health or safety of any person;</w:t>
      </w:r>
    </w:p>
    <w:p>
      <w:pPr>
        <w:pStyle w:val="Compact"/>
        <w:numPr>
          <w:ilvl w:val="0"/>
          <w:numId w:val="1001"/>
        </w:numPr>
      </w:pPr>
      <w:r>
        <w:t xml:space="preserve">Interferes with the Platform’s operation, security, or integrity; or</w:t>
      </w:r>
    </w:p>
    <w:p>
      <w:pPr>
        <w:pStyle w:val="Compact"/>
        <w:numPr>
          <w:ilvl w:val="0"/>
          <w:numId w:val="1001"/>
        </w:numPr>
      </w:pPr>
      <w:r>
        <w:t xml:space="preserve">Misrepresents your identity, qualifications, services, or property.</w:t>
      </w:r>
    </w:p>
    <w:p>
      <w:r>
        <w:pict>
          <v:rect style="width:0;height:1.5pt" o:hralign="center" o:hrstd="t" o:hr="t"/>
        </w:pict>
      </w:r>
    </w:p>
    <w:bookmarkEnd w:id="10"/>
    <w:bookmarkStart w:id="12" w:name="prohibited-conduct-all-users"/>
    <w:p>
      <w:pPr>
        <w:pStyle w:val="Heading2"/>
      </w:pPr>
      <w:r>
        <w:t xml:space="preserve">2. Prohibited Conduct — All Users</w:t>
      </w:r>
    </w:p>
    <w:p>
      <w:pPr>
        <w:pStyle w:val="FirstParagraph"/>
      </w:pPr>
      <w:r>
        <w:t xml:space="preserve">You will not:</w:t>
      </w:r>
    </w:p>
    <w:p>
      <w:pPr>
        <w:pStyle w:val="Compact"/>
        <w:numPr>
          <w:ilvl w:val="0"/>
          <w:numId w:val="1002"/>
        </w:numPr>
      </w:pPr>
      <w:r>
        <w:t xml:space="preserve">Use the Platform for any unlawful purpose, including human trafficking, money laundering, terrorism financing, prostitution, or drug trafficking.</w:t>
      </w:r>
    </w:p>
    <w:p>
      <w:pPr>
        <w:pStyle w:val="Compact"/>
        <w:numPr>
          <w:ilvl w:val="0"/>
          <w:numId w:val="1002"/>
        </w:numPr>
      </w:pPr>
      <w:r>
        <w:rPr>
          <w:b/>
          <w:bCs/>
        </w:rPr>
        <w:t xml:space="preserve">Discriminate</w:t>
      </w:r>
      <w:r>
        <w:t xml:space="preserve"> </w:t>
      </w:r>
      <w:r>
        <w:t xml:space="preserve">on the basis of race, color, ancestry, national origin, religion, age, sex, gender, gender identity, sexual orientation, marital status, medical condition, disability, military or veteran status, or any other characteristic protected by law. This includes compliance with the</w:t>
      </w:r>
      <w:r>
        <w:t xml:space="preserve"> </w:t>
      </w:r>
      <w:r>
        <w:rPr>
          <w:b/>
          <w:bCs/>
        </w:rPr>
        <w:t xml:space="preserve">Unruh Civil Rights Act (Cal. Civ. Code § 51)</w:t>
      </w:r>
      <w:r>
        <w:t xml:space="preserve">, the</w:t>
      </w:r>
      <w:r>
        <w:t xml:space="preserve"> </w:t>
      </w:r>
      <w:r>
        <w:rPr>
          <w:b/>
          <w:bCs/>
        </w:rPr>
        <w:t xml:space="preserve">Texas Human Resources Code</w:t>
      </w:r>
      <w:r>
        <w:t xml:space="preserve">, the</w:t>
      </w:r>
      <w:r>
        <w:t xml:space="preserve"> </w:t>
      </w:r>
      <w:r>
        <w:rPr>
          <w:b/>
          <w:bCs/>
        </w:rPr>
        <w:t xml:space="preserve">Florida Civil Rights Act (Fla. Stat. Ch. 760)</w:t>
      </w:r>
      <w:r>
        <w:t xml:space="preserve">, and federal law.</w:t>
      </w:r>
    </w:p>
    <w:p>
      <w:pPr>
        <w:pStyle w:val="Compact"/>
        <w:numPr>
          <w:ilvl w:val="0"/>
          <w:numId w:val="1002"/>
        </w:numPr>
      </w:pPr>
      <w:r>
        <w:t xml:space="preserve">Harass, bully, stalk, threaten, intimidate, dox, or impersonate any person.</w:t>
      </w:r>
    </w:p>
    <w:p>
      <w:pPr>
        <w:pStyle w:val="Compact"/>
        <w:numPr>
          <w:ilvl w:val="0"/>
          <w:numId w:val="1002"/>
        </w:numPr>
      </w:pPr>
      <w:r>
        <w:t xml:space="preserve">Post or share content that is obscene, sexually explicit, gratuitously violent, or that depicts or promotes self-harm.</w:t>
      </w:r>
    </w:p>
    <w:p>
      <w:pPr>
        <w:pStyle w:val="Compact"/>
        <w:numPr>
          <w:ilvl w:val="0"/>
          <w:numId w:val="1002"/>
        </w:numPr>
      </w:pPr>
      <w:r>
        <w:t xml:space="preserve">Solicit, offer, or accept any sexual service.</w:t>
      </w:r>
    </w:p>
    <w:p>
      <w:pPr>
        <w:pStyle w:val="Compact"/>
        <w:numPr>
          <w:ilvl w:val="0"/>
          <w:numId w:val="1002"/>
        </w:numPr>
      </w:pPr>
      <w:r>
        <w:t xml:space="preserve">Submit false, misleading, or paid reviews; manipulate ratings; coordinate review bombing; or retaliate via reviews.</w:t>
      </w:r>
    </w:p>
    <w:p>
      <w:pPr>
        <w:pStyle w:val="Compact"/>
        <w:numPr>
          <w:ilvl w:val="0"/>
          <w:numId w:val="1002"/>
        </w:numPr>
      </w:pPr>
      <w:r>
        <w:t xml:space="preserve">Upload viruses, malware, ransomware, spyware, or any malicious code.</w:t>
      </w:r>
    </w:p>
    <w:p>
      <w:pPr>
        <w:pStyle w:val="Compact"/>
        <w:numPr>
          <w:ilvl w:val="0"/>
          <w:numId w:val="1002"/>
        </w:numPr>
      </w:pPr>
      <w:r>
        <w:t xml:space="preserve">Scrape, crawl, mine, frame, mirror, or programmatically access the Platform without prior written consent.</w:t>
      </w:r>
    </w:p>
    <w:p>
      <w:pPr>
        <w:pStyle w:val="Compact"/>
        <w:numPr>
          <w:ilvl w:val="0"/>
          <w:numId w:val="1002"/>
        </w:numPr>
      </w:pPr>
      <w:r>
        <w:t xml:space="preserve">Reverse engineer, decompile, or attempt to derive source code, except as permitted by law.</w:t>
      </w:r>
    </w:p>
    <w:p>
      <w:pPr>
        <w:pStyle w:val="Compact"/>
        <w:numPr>
          <w:ilvl w:val="0"/>
          <w:numId w:val="1002"/>
        </w:numPr>
      </w:pPr>
      <w:r>
        <w:t xml:space="preserve">Use bots, scripts, or automation to create accounts, post content, manipulate prices, or simulate engagement.</w:t>
      </w:r>
    </w:p>
    <w:p>
      <w:pPr>
        <w:pStyle w:val="Compact"/>
        <w:numPr>
          <w:ilvl w:val="0"/>
          <w:numId w:val="1002"/>
        </w:numPr>
      </w:pPr>
      <w:r>
        <w:t xml:space="preserve">Bypass rate limits, access controls, authentication, or other security measures.</w:t>
      </w:r>
    </w:p>
    <w:p>
      <w:pPr>
        <w:pStyle w:val="Compact"/>
        <w:numPr>
          <w:ilvl w:val="0"/>
          <w:numId w:val="1002"/>
        </w:numPr>
      </w:pPr>
      <w:r>
        <w:t xml:space="preserve">Use the Platform to send spam, unsolicited promotions, or commercial messages unrelated to a Booking.</w:t>
      </w:r>
    </w:p>
    <w:p>
      <w:pPr>
        <w:pStyle w:val="Compact"/>
        <w:numPr>
          <w:ilvl w:val="0"/>
          <w:numId w:val="1002"/>
        </w:numPr>
      </w:pPr>
      <w:r>
        <w:t xml:space="preserve">Use another User’s personal information for any purpose other than the immediate, intended Booking.</w:t>
      </w:r>
    </w:p>
    <w:p>
      <w:pPr>
        <w:pStyle w:val="Compact"/>
        <w:numPr>
          <w:ilvl w:val="0"/>
          <w:numId w:val="1002"/>
        </w:numPr>
      </w:pPr>
      <w:r>
        <w:t xml:space="preserve">Collect, store, or share content from other Users (photos, messages, addresses) outside the Platform without consent.</w:t>
      </w:r>
    </w:p>
    <w:p>
      <w:pPr>
        <w:pStyle w:val="Compact"/>
        <w:numPr>
          <w:ilvl w:val="0"/>
          <w:numId w:val="1002"/>
        </w:numPr>
      </w:pPr>
      <w:r>
        <w:rPr>
          <w:b/>
          <w:bCs/>
        </w:rPr>
        <w:t xml:space="preserve">Engage in payment fraud</w:t>
      </w:r>
      <w:r>
        <w:t xml:space="preserve">, including: filing fraudulent chargebacks; creating sham or test Bookings to manipulate metrics or extract referral credits; conspiring with another User to circumvent Platform fees; or attempting to defraud Stripe’s payment systems.</w:t>
      </w:r>
    </w:p>
    <w:p>
      <w:pPr>
        <w:pStyle w:val="Compact"/>
        <w:numPr>
          <w:ilvl w:val="0"/>
          <w:numId w:val="1002"/>
        </w:numPr>
      </w:pPr>
      <w:r>
        <w:rPr>
          <w:b/>
          <w:bCs/>
        </w:rPr>
        <w:t xml:space="preserve">Use the Platform while intoxicated</w:t>
      </w:r>
      <w:r>
        <w:t xml:space="preserve"> </w:t>
      </w:r>
      <w:r>
        <w:t xml:space="preserve">by alcohol, controlled substances, or impairing prescription medications, in any role that affects User safety or service quality.</w:t>
      </w:r>
    </w:p>
    <w:p>
      <w:pPr>
        <w:pStyle w:val="Compact"/>
        <w:numPr>
          <w:ilvl w:val="0"/>
          <w:numId w:val="1002"/>
        </w:numPr>
      </w:pPr>
      <w:r>
        <w:rPr>
          <w:b/>
          <w:bCs/>
        </w:rPr>
        <w:t xml:space="preserve">Misuse PureTask’s logos, name, mascot (“Dash”), or branding</w:t>
      </w:r>
      <w:r>
        <w:t xml:space="preserve"> </w:t>
      </w:r>
      <w:r>
        <w:t xml:space="preserve">in any way that suggests endorsement, partnership, or employment without express written consent. Pros may identify themselves as “a service professional listed on the PureTask Platform” but may not claim to be employed by, an agent of, or otherwise affiliated with PureTask beyond that.</w:t>
      </w:r>
    </w:p>
    <w:bookmarkStart w:id="11" w:name="platform-fees-and-off-platform-bookings"/>
    <w:p>
      <w:pPr>
        <w:pStyle w:val="Heading3"/>
      </w:pPr>
      <w:r>
        <w:t xml:space="preserve">2.1 Platform Fees and Off-Platform Bookings</w:t>
      </w:r>
    </w:p>
    <w:p>
      <w:pPr>
        <w:pStyle w:val="FirstParagraph"/>
      </w:pPr>
      <w:r>
        <w:t xml:space="preserve">PureTask does</w:t>
      </w:r>
      <w:r>
        <w:t xml:space="preserve"> </w:t>
      </w:r>
      <w:r>
        <w:rPr>
          <w:b/>
          <w:bCs/>
        </w:rPr>
        <w:t xml:space="preserve">not</w:t>
      </w:r>
      <w:r>
        <w:t xml:space="preserve"> </w:t>
      </w:r>
      <w:r>
        <w:t xml:space="preserve">prohibit Users from working with each other off the Platform after a Booking. However, during an active Booking and for</w:t>
      </w:r>
      <w:r>
        <w:t xml:space="preserve"> </w:t>
      </w:r>
      <w:r>
        <w:rPr>
          <w:b/>
          <w:bCs/>
        </w:rPr>
        <w:t xml:space="preserve">30 days thereafter</w:t>
      </w:r>
      <w:r>
        <w:t xml:space="preserve">, a</w:t>
      </w:r>
      <w:r>
        <w:t xml:space="preserve"> </w:t>
      </w:r>
      <w:r>
        <w:rPr>
          <w:b/>
          <w:bCs/>
        </w:rPr>
        <w:t xml:space="preserve">Platform Attribution Fee</w:t>
      </w:r>
      <w:r>
        <w:t xml:space="preserve"> </w:t>
      </w:r>
      <w:r>
        <w:t xml:space="preserve">applies per Section 15.A of the Terms of Service. Outside that window, there is no restriction.</w:t>
      </w:r>
    </w:p>
    <w:p>
      <w:pPr>
        <w:pStyle w:val="BodyText"/>
      </w:pPr>
      <w:r>
        <w:t xml:space="preserve">PureTask reserves the right to enforce the Platform Attribution Fee through reasonable means including offsets, dispute resolution, or small-claims court. Repeated circumvention attempts may result in suspension.</w:t>
      </w:r>
    </w:p>
    <w:p>
      <w:r>
        <w:pict>
          <v:rect style="width:0;height:1.5pt" o:hralign="center" o:hrstd="t" o:hr="t"/>
        </w:pict>
      </w:r>
    </w:p>
    <w:bookmarkEnd w:id="11"/>
    <w:bookmarkEnd w:id="12"/>
    <w:bookmarkStart w:id="13" w:name="client-specific-rules"/>
    <w:p>
      <w:pPr>
        <w:pStyle w:val="Heading2"/>
      </w:pPr>
      <w:r>
        <w:t xml:space="preserve">3. Client-Specific Rules</w:t>
      </w:r>
    </w:p>
    <w:p>
      <w:pPr>
        <w:pStyle w:val="Compact"/>
        <w:numPr>
          <w:ilvl w:val="0"/>
          <w:numId w:val="1003"/>
        </w:numPr>
      </w:pPr>
      <w:r>
        <w:t xml:space="preserve">Provide accurate property information (size, condition, pets, hazards) and honest scope of work.</w:t>
      </w:r>
    </w:p>
    <w:p>
      <w:pPr>
        <w:pStyle w:val="Compact"/>
        <w:numPr>
          <w:ilvl w:val="0"/>
          <w:numId w:val="1003"/>
        </w:numPr>
      </w:pPr>
      <w:r>
        <w:rPr>
          <w:b/>
          <w:bCs/>
        </w:rPr>
        <w:t xml:space="preserve">Disclose all safety risks before the Booking</w:t>
      </w:r>
      <w:r>
        <w:t xml:space="preserve">, including:</w:t>
      </w:r>
    </w:p>
    <w:p>
      <w:pPr>
        <w:pStyle w:val="Compact"/>
        <w:numPr>
          <w:ilvl w:val="1"/>
          <w:numId w:val="1004"/>
        </w:numPr>
      </w:pPr>
      <w:r>
        <w:rPr>
          <w:b/>
          <w:bCs/>
        </w:rPr>
        <w:t xml:space="preserve">Firearms</w:t>
      </w:r>
      <w:r>
        <w:t xml:space="preserve"> </w:t>
      </w:r>
      <w:r>
        <w:t xml:space="preserve">(and whether they are secured);</w:t>
      </w:r>
    </w:p>
    <w:p>
      <w:pPr>
        <w:pStyle w:val="Compact"/>
        <w:numPr>
          <w:ilvl w:val="1"/>
          <w:numId w:val="1004"/>
        </w:numPr>
      </w:pPr>
      <w:r>
        <w:rPr>
          <w:b/>
          <w:bCs/>
        </w:rPr>
        <w:t xml:space="preserve">Other weapons</w:t>
      </w:r>
      <w:r>
        <w:t xml:space="preserve"> </w:t>
      </w:r>
      <w:r>
        <w:t xml:space="preserve">(knives, archery, etc.);</w:t>
      </w:r>
    </w:p>
    <w:p>
      <w:pPr>
        <w:pStyle w:val="Compact"/>
        <w:numPr>
          <w:ilvl w:val="1"/>
          <w:numId w:val="1004"/>
        </w:numPr>
      </w:pPr>
      <w:r>
        <w:rPr>
          <w:b/>
          <w:bCs/>
        </w:rPr>
        <w:t xml:space="preserve">Biohazards</w:t>
      </w:r>
      <w:r>
        <w:t xml:space="preserve"> </w:t>
      </w:r>
      <w:r>
        <w:t xml:space="preserve">(mold, sewage backup, bodily fluids);</w:t>
      </w:r>
    </w:p>
    <w:p>
      <w:pPr>
        <w:pStyle w:val="Compact"/>
        <w:numPr>
          <w:ilvl w:val="1"/>
          <w:numId w:val="1004"/>
        </w:numPr>
      </w:pPr>
      <w:r>
        <w:rPr>
          <w:b/>
          <w:bCs/>
        </w:rPr>
        <w:t xml:space="preserve">Aggressive animals or pets</w:t>
      </w:r>
      <w:r>
        <w:t xml:space="preserve">;</w:t>
      </w:r>
    </w:p>
    <w:p>
      <w:pPr>
        <w:pStyle w:val="Compact"/>
        <w:numPr>
          <w:ilvl w:val="1"/>
          <w:numId w:val="1004"/>
        </w:numPr>
      </w:pPr>
      <w:r>
        <w:rPr>
          <w:b/>
          <w:bCs/>
        </w:rPr>
        <w:t xml:space="preserve">Hazardous materials</w:t>
      </w:r>
      <w:r>
        <w:t xml:space="preserve"> </w:t>
      </w:r>
      <w:r>
        <w:t xml:space="preserve">(chemicals, fuel, asbestos, lead paint);</w:t>
      </w:r>
    </w:p>
    <w:p>
      <w:pPr>
        <w:pStyle w:val="Compact"/>
        <w:numPr>
          <w:ilvl w:val="1"/>
          <w:numId w:val="1004"/>
        </w:numPr>
      </w:pPr>
      <w:r>
        <w:rPr>
          <w:b/>
          <w:bCs/>
        </w:rPr>
        <w:t xml:space="preserve">Structural or environmental risks</w:t>
      </w:r>
      <w:r>
        <w:t xml:space="preserve"> </w:t>
      </w:r>
      <w:r>
        <w:t xml:space="preserve">(unsafe stairs, exposed wiring, gas leaks);</w:t>
      </w:r>
    </w:p>
    <w:p>
      <w:pPr>
        <w:pStyle w:val="Compact"/>
        <w:numPr>
          <w:ilvl w:val="1"/>
          <w:numId w:val="1004"/>
        </w:numPr>
      </w:pPr>
      <w:r>
        <w:rPr>
          <w:b/>
          <w:bCs/>
        </w:rPr>
        <w:t xml:space="preserve">Active illness or quarantine</w:t>
      </w:r>
      <w:r>
        <w:t xml:space="preserve"> </w:t>
      </w:r>
      <w:r>
        <w:t xml:space="preserve">affecting household members.</w:t>
      </w:r>
    </w:p>
    <w:p>
      <w:pPr>
        <w:pStyle w:val="Compact"/>
        <w:numPr>
          <w:ilvl w:val="0"/>
          <w:numId w:val="1003"/>
        </w:numPr>
      </w:pPr>
      <w:r>
        <w:t xml:space="preserve">Do not request services that are unsafe, illegal, or outside the agreed scope.</w:t>
      </w:r>
    </w:p>
    <w:p>
      <w:pPr>
        <w:pStyle w:val="Compact"/>
        <w:numPr>
          <w:ilvl w:val="0"/>
          <w:numId w:val="1003"/>
        </w:numPr>
      </w:pPr>
      <w:r>
        <w:rPr>
          <w:b/>
          <w:bCs/>
        </w:rPr>
        <w:t xml:space="preserve">Do not record audio of any Pro</w:t>
      </w:r>
      <w:r>
        <w:t xml:space="preserve"> </w:t>
      </w:r>
      <w:r>
        <w:t xml:space="preserve">without disclosure as required by law. California and Florida are</w:t>
      </w:r>
      <w:r>
        <w:t xml:space="preserve"> </w:t>
      </w:r>
      <w:r>
        <w:rPr>
          <w:b/>
          <w:bCs/>
        </w:rPr>
        <w:t xml:space="preserve">two-party consent</w:t>
      </w:r>
      <w:r>
        <w:t xml:space="preserve"> </w:t>
      </w:r>
      <w:r>
        <w:t xml:space="preserve">states for audio (Cal. Penal Code § 632; Fla. Stat. § 934.03); Texas is one-party consent. Video recording of a Pro inside the property should be disclosed before the Booking begins.</w:t>
      </w:r>
      <w:r>
        <w:t xml:space="preserve"> </w:t>
      </w:r>
      <w:r>
        <w:rPr>
          <w:b/>
          <w:bCs/>
        </w:rPr>
        <w:t xml:space="preserve">Recording of bedrooms, bathrooms, or any place where a Pro has a reasonable expectation of privacy is strictly prohibited.</w:t>
      </w:r>
    </w:p>
    <w:p>
      <w:pPr>
        <w:pStyle w:val="Compact"/>
        <w:numPr>
          <w:ilvl w:val="0"/>
          <w:numId w:val="1003"/>
        </w:numPr>
      </w:pPr>
      <w:r>
        <w:t xml:space="preserve">Pay for services rendered through the Platform. Do not file fraudulent chargebacks.</w:t>
      </w:r>
    </w:p>
    <w:p>
      <w:pPr>
        <w:pStyle w:val="Compact"/>
        <w:numPr>
          <w:ilvl w:val="0"/>
          <w:numId w:val="1003"/>
        </w:numPr>
      </w:pPr>
      <w:r>
        <w:t xml:space="preserve">Do not retaliate against a Pro for declining a job, filing a good-faith report, or filing a dispute.</w:t>
      </w:r>
    </w:p>
    <w:p>
      <w:pPr>
        <w:pStyle w:val="Compact"/>
        <w:numPr>
          <w:ilvl w:val="0"/>
          <w:numId w:val="1003"/>
        </w:numPr>
      </w:pPr>
      <w:r>
        <w:rPr>
          <w:b/>
          <w:bCs/>
        </w:rPr>
        <w:t xml:space="preserve">Be present or available</w:t>
      </w:r>
      <w:r>
        <w:t xml:space="preserve"> </w:t>
      </w:r>
      <w:r>
        <w:t xml:space="preserve">(by phone) during the Booking for safety questions and access issues.</w:t>
      </w:r>
    </w:p>
    <w:p>
      <w:r>
        <w:pict>
          <v:rect style="width:0;height:1.5pt" o:hralign="center" o:hrstd="t" o:hr="t"/>
        </w:pict>
      </w:r>
    </w:p>
    <w:bookmarkEnd w:id="13"/>
    <w:bookmarkStart w:id="17" w:name="pro-specific-rules"/>
    <w:p>
      <w:pPr>
        <w:pStyle w:val="Heading2"/>
      </w:pPr>
      <w:r>
        <w:t xml:space="preserve">4. Pro-Specific Rules</w:t>
      </w:r>
    </w:p>
    <w:p>
      <w:pPr>
        <w:pStyle w:val="Compact"/>
        <w:numPr>
          <w:ilvl w:val="0"/>
          <w:numId w:val="1005"/>
        </w:numPr>
      </w:pPr>
      <w:r>
        <w:t xml:space="preserve">Provide accurate identity, qualifications, and service descriptions.</w:t>
      </w:r>
    </w:p>
    <w:p>
      <w:pPr>
        <w:pStyle w:val="Compact"/>
        <w:numPr>
          <w:ilvl w:val="0"/>
          <w:numId w:val="1005"/>
        </w:numPr>
      </w:pPr>
      <w:r>
        <w:t xml:space="preserve">Maintain at least one of: a valid business license, a valid EIN, or a valid Certificate of Insurance (Commercial General Liability) as required by Section 4.2 of the Terms of Service.</w:t>
      </w:r>
    </w:p>
    <w:p>
      <w:pPr>
        <w:pStyle w:val="Compact"/>
        <w:numPr>
          <w:ilvl w:val="0"/>
          <w:numId w:val="1005"/>
        </w:numPr>
      </w:pPr>
      <w:r>
        <w:t xml:space="preserve">Show up on time and complete the agreed scope of work as contracted with the Client.</w:t>
      </w:r>
    </w:p>
    <w:p>
      <w:pPr>
        <w:pStyle w:val="Compact"/>
        <w:numPr>
          <w:ilvl w:val="0"/>
          <w:numId w:val="1005"/>
        </w:numPr>
      </w:pPr>
      <w:r>
        <w:t xml:space="preserve">Treat client property with care. Report damage immediately through the Platform.</w:t>
      </w:r>
    </w:p>
    <w:p>
      <w:pPr>
        <w:pStyle w:val="Compact"/>
        <w:numPr>
          <w:ilvl w:val="0"/>
          <w:numId w:val="1005"/>
        </w:numPr>
      </w:pPr>
      <w:r>
        <w:rPr>
          <w:b/>
          <w:bCs/>
        </w:rPr>
        <w:t xml:space="preserve">Maintain confidentiality</w:t>
      </w:r>
      <w:r>
        <w:t xml:space="preserve"> </w:t>
      </w:r>
      <w:r>
        <w:t xml:space="preserve">of anything you see, hear, or learn at a Client’s property. Confidentiality obligations survive termination of your use of the Platform.</w:t>
      </w:r>
    </w:p>
    <w:p>
      <w:pPr>
        <w:pStyle w:val="Compact"/>
        <w:numPr>
          <w:ilvl w:val="0"/>
          <w:numId w:val="1005"/>
        </w:numPr>
      </w:pPr>
      <w:r>
        <w:rPr>
          <w:b/>
          <w:bCs/>
        </w:rPr>
        <w:t xml:space="preserve">Do not record audio or video</w:t>
      </w:r>
      <w:r>
        <w:t xml:space="preserve"> </w:t>
      </w:r>
      <w:r>
        <w:t xml:space="preserve">of any Client, household member, or guest, except for legitimate, Client-disclosed before/after photos of the work area as part of the booking scope.</w:t>
      </w:r>
    </w:p>
    <w:p>
      <w:pPr>
        <w:pStyle w:val="Compact"/>
        <w:numPr>
          <w:ilvl w:val="0"/>
          <w:numId w:val="1005"/>
        </w:numPr>
      </w:pPr>
      <w:r>
        <w:t xml:space="preserve">Do not take, photograph, or share images of:</w:t>
      </w:r>
    </w:p>
    <w:p>
      <w:pPr>
        <w:pStyle w:val="Compact"/>
        <w:numPr>
          <w:ilvl w:val="1"/>
          <w:numId w:val="1006"/>
        </w:numPr>
      </w:pPr>
      <w:r>
        <w:t xml:space="preserve">Client belongings beyond what is needed for legitimate work documentation;</w:t>
      </w:r>
    </w:p>
    <w:p>
      <w:pPr>
        <w:pStyle w:val="Compact"/>
        <w:numPr>
          <w:ilvl w:val="1"/>
          <w:numId w:val="1006"/>
        </w:numPr>
      </w:pPr>
      <w:r>
        <w:t xml:space="preserve">Documents, financial records, mail, prescriptions, or medical equipment;</w:t>
      </w:r>
    </w:p>
    <w:p>
      <w:pPr>
        <w:pStyle w:val="Compact"/>
        <w:numPr>
          <w:ilvl w:val="1"/>
          <w:numId w:val="1006"/>
        </w:numPr>
      </w:pPr>
      <w:r>
        <w:t xml:space="preserve">Children, dependent adults, or other vulnerable occupants;</w:t>
      </w:r>
    </w:p>
    <w:p>
      <w:pPr>
        <w:pStyle w:val="Compact"/>
        <w:numPr>
          <w:ilvl w:val="1"/>
          <w:numId w:val="1006"/>
        </w:numPr>
      </w:pPr>
      <w:r>
        <w:t xml:space="preserve">The interior of any bedroom or bathroom for any purpose other than cleaning the work area.</w:t>
      </w:r>
    </w:p>
    <w:p>
      <w:pPr>
        <w:pStyle w:val="Compact"/>
        <w:numPr>
          <w:ilvl w:val="0"/>
          <w:numId w:val="1005"/>
        </w:numPr>
      </w:pPr>
      <w:r>
        <w:rPr>
          <w:b/>
          <w:bCs/>
        </w:rPr>
        <w:t xml:space="preserve">Bringing weapons or firearms</w:t>
      </w:r>
      <w:r>
        <w:t xml:space="preserve"> </w:t>
      </w:r>
      <w:r>
        <w:t xml:space="preserve">to a Booking is prohibited unless (a) lawfully concealed-carry-permit holders carrying in compliance with state and local law, and (b) the firearm is concealed and never displayed. Open carry, brandishing, or any weapon-related behavior is grounds for immediate termination.</w:t>
      </w:r>
    </w:p>
    <w:p>
      <w:pPr>
        <w:pStyle w:val="Compact"/>
        <w:numPr>
          <w:ilvl w:val="0"/>
          <w:numId w:val="1005"/>
        </w:numPr>
      </w:pPr>
      <w:r>
        <w:rPr>
          <w:b/>
          <w:bCs/>
        </w:rPr>
        <w:t xml:space="preserve">Do not consume alcohol or impairing substances</w:t>
      </w:r>
      <w:r>
        <w:t xml:space="preserve"> </w:t>
      </w:r>
      <w:r>
        <w:t xml:space="preserve">before or during a Booking. Show up sober. Use of marijuana, even where legal, before or during a Booking is prohibited.</w:t>
      </w:r>
    </w:p>
    <w:p>
      <w:pPr>
        <w:pStyle w:val="Compact"/>
        <w:numPr>
          <w:ilvl w:val="0"/>
          <w:numId w:val="1005"/>
        </w:numPr>
      </w:pPr>
      <w:r>
        <w:t xml:space="preserve">Do not bring uncleared third parties to a job site.</w:t>
      </w:r>
      <w:r>
        <w:t xml:space="preserve"> </w:t>
      </w:r>
      <w:r>
        <w:rPr>
          <w:b/>
          <w:bCs/>
        </w:rPr>
        <w:t xml:space="preserve">Subcontracting or substitution is permitted only if the substitute Pro is registered on the Platform, has completed PureTask’s identity and background screening, is at least 18 years of age, and the Client has been notified through the Platform.</w:t>
      </w:r>
    </w:p>
    <w:p>
      <w:pPr>
        <w:pStyle w:val="Compact"/>
        <w:numPr>
          <w:ilvl w:val="0"/>
          <w:numId w:val="1005"/>
        </w:numPr>
      </w:pPr>
      <w:r>
        <w:rPr>
          <w:b/>
          <w:bCs/>
        </w:rPr>
        <w:t xml:space="preserve">Do not handle controlled substances or hazardous materials</w:t>
      </w:r>
      <w:r>
        <w:t xml:space="preserve"> </w:t>
      </w:r>
      <w:r>
        <w:t xml:space="preserve">beyond the agreed scope. If you encounter illegal substances, weapons not previously disclosed, or evidence of a crime, leave the property safely and contact PureTask through the Platform. Contact 911 if there is imminent danger.</w:t>
      </w:r>
    </w:p>
    <w:p>
      <w:pPr>
        <w:pStyle w:val="Compact"/>
        <w:numPr>
          <w:ilvl w:val="0"/>
          <w:numId w:val="1005"/>
        </w:numPr>
      </w:pPr>
      <w:r>
        <w:t xml:space="preserve">Maintain any insurance, licenses, or certifications required by law.</w:t>
      </w:r>
    </w:p>
    <w:p>
      <w:pPr>
        <w:pStyle w:val="Compact"/>
        <w:numPr>
          <w:ilvl w:val="0"/>
          <w:numId w:val="1005"/>
        </w:numPr>
      </w:pPr>
      <w:r>
        <w:t xml:space="preserve">You set your own schedule, methods, tools, supplies, and pace of work. PureTask does not direct how you perform the cleaning.</w:t>
      </w:r>
    </w:p>
    <w:bookmarkStart w:id="14" w:name="sensitive-locations-and-occupants"/>
    <w:p>
      <w:pPr>
        <w:pStyle w:val="Heading3"/>
      </w:pPr>
      <w:r>
        <w:t xml:space="preserve">4.1 Sensitive Locations and Occupants</w:t>
      </w:r>
    </w:p>
    <w:p>
      <w:pPr>
        <w:pStyle w:val="FirstParagraph"/>
      </w:pPr>
      <w:r>
        <w:t xml:space="preserve">PureTask Bookings frequently occur in private homes where minors, elders, and dependent adults may be present. Pros must:</w:t>
      </w:r>
    </w:p>
    <w:p>
      <w:pPr>
        <w:pStyle w:val="Compact"/>
        <w:numPr>
          <w:ilvl w:val="0"/>
          <w:numId w:val="1007"/>
        </w:numPr>
      </w:pPr>
      <w:r>
        <w:t xml:space="preserve">Never be alone with a minor, dependent adult, or other vulnerable person beyond what is unavoidable for the cleaning work;</w:t>
      </w:r>
    </w:p>
    <w:p>
      <w:pPr>
        <w:pStyle w:val="Compact"/>
        <w:numPr>
          <w:ilvl w:val="0"/>
          <w:numId w:val="1007"/>
        </w:numPr>
      </w:pPr>
      <w:r>
        <w:t xml:space="preserve">Avoid physical contact except as strictly necessary;</w:t>
      </w:r>
    </w:p>
    <w:p>
      <w:pPr>
        <w:pStyle w:val="Compact"/>
        <w:numPr>
          <w:ilvl w:val="0"/>
          <w:numId w:val="1007"/>
        </w:numPr>
      </w:pPr>
      <w:r>
        <w:t xml:space="preserve">Document concerns through the Platform’s reporting tools;</w:t>
      </w:r>
    </w:p>
    <w:p>
      <w:pPr>
        <w:pStyle w:val="Compact"/>
        <w:numPr>
          <w:ilvl w:val="0"/>
          <w:numId w:val="1007"/>
        </w:numPr>
      </w:pPr>
      <w:r>
        <w:t xml:space="preserve">Comply with all applicable mandatory-reporting laws under their own professional status (see Section 4.2).</w:t>
      </w:r>
    </w:p>
    <w:bookmarkEnd w:id="14"/>
    <w:bookmarkStart w:id="15" w:name="mandatory-reporting"/>
    <w:p>
      <w:pPr>
        <w:pStyle w:val="Heading3"/>
      </w:pPr>
      <w:r>
        <w:t xml:space="preserve">4.2 Mandatory Reporting</w:t>
      </w:r>
    </w:p>
    <w:p>
      <w:pPr>
        <w:pStyle w:val="FirstParagraph"/>
      </w:pPr>
      <w:r>
        <w:t xml:space="preserve">Pros may observe situations involving suspected child abuse, elder abuse, dependent-adult abuse, or domestic violence. PureTask strongly encourages reporting to:</w:t>
      </w:r>
    </w:p>
    <w:p>
      <w:pPr>
        <w:pStyle w:val="Compact"/>
        <w:numPr>
          <w:ilvl w:val="0"/>
          <w:numId w:val="1008"/>
        </w:numPr>
      </w:pPr>
      <w:r>
        <w:rPr>
          <w:b/>
          <w:bCs/>
        </w:rPr>
        <w:t xml:space="preserve">911</w:t>
      </w:r>
      <w:r>
        <w:t xml:space="preserve"> </w:t>
      </w:r>
      <w:r>
        <w:t xml:space="preserve">for imminent danger;</w:t>
      </w:r>
    </w:p>
    <w:p>
      <w:pPr>
        <w:pStyle w:val="Compact"/>
        <w:numPr>
          <w:ilvl w:val="0"/>
          <w:numId w:val="1008"/>
        </w:numPr>
      </w:pPr>
      <w:r>
        <w:rPr>
          <w:b/>
          <w:bCs/>
        </w:rPr>
        <w:t xml:space="preserve">California Child Abuse Hotline</w:t>
      </w:r>
      <w:r>
        <w:t xml:space="preserve">: 1-800-540-4000;</w:t>
      </w:r>
    </w:p>
    <w:p>
      <w:pPr>
        <w:pStyle w:val="Compact"/>
        <w:numPr>
          <w:ilvl w:val="0"/>
          <w:numId w:val="1008"/>
        </w:numPr>
      </w:pPr>
      <w:r>
        <w:rPr>
          <w:b/>
          <w:bCs/>
        </w:rPr>
        <w:t xml:space="preserve">California Adult Protective Services</w:t>
      </w:r>
      <w:r>
        <w:t xml:space="preserve">: 1-833-401-0832;</w:t>
      </w:r>
    </w:p>
    <w:p>
      <w:pPr>
        <w:pStyle w:val="Compact"/>
        <w:numPr>
          <w:ilvl w:val="0"/>
          <w:numId w:val="1008"/>
        </w:numPr>
      </w:pPr>
      <w:r>
        <w:rPr>
          <w:b/>
          <w:bCs/>
        </w:rPr>
        <w:t xml:space="preserve">Texas Department of Family and Protective Services</w:t>
      </w:r>
      <w:r>
        <w:t xml:space="preserve">: 1-800-252-5400;</w:t>
      </w:r>
    </w:p>
    <w:p>
      <w:pPr>
        <w:pStyle w:val="Compact"/>
        <w:numPr>
          <w:ilvl w:val="0"/>
          <w:numId w:val="1008"/>
        </w:numPr>
      </w:pPr>
      <w:r>
        <w:rPr>
          <w:b/>
          <w:bCs/>
        </w:rPr>
        <w:t xml:space="preserve">Florida Abuse Hotline</w:t>
      </w:r>
      <w:r>
        <w:t xml:space="preserve">: 1-800-962-2873.</w:t>
      </w:r>
    </w:p>
    <w:p>
      <w:pPr>
        <w:pStyle w:val="FirstParagraph"/>
      </w:pPr>
      <w:r>
        <w:t xml:space="preserve">Pros are not PureTask employees; whether mandatory-reporting laws (e.g.,</w:t>
      </w:r>
      <w:r>
        <w:t xml:space="preserve"> </w:t>
      </w:r>
      <w:r>
        <w:rPr>
          <w:b/>
          <w:bCs/>
        </w:rPr>
        <w:t xml:space="preserve">Cal. Penal Code § 11164 et seq.</w:t>
      </w:r>
      <w:r>
        <w:t xml:space="preserve">;</w:t>
      </w:r>
      <w:r>
        <w:t xml:space="preserve"> </w:t>
      </w:r>
      <w:r>
        <w:rPr>
          <w:b/>
          <w:bCs/>
        </w:rPr>
        <w:t xml:space="preserve">Cal. Welf. &amp; Inst. Code § 15630</w:t>
      </w:r>
      <w:r>
        <w:t xml:space="preserve">;</w:t>
      </w:r>
      <w:r>
        <w:t xml:space="preserve"> </w:t>
      </w:r>
      <w:r>
        <w:rPr>
          <w:b/>
          <w:bCs/>
        </w:rPr>
        <w:t xml:space="preserve">Tex. Fam. Code § 261.101</w:t>
      </w:r>
      <w:r>
        <w:t xml:space="preserve">;</w:t>
      </w:r>
      <w:r>
        <w:t xml:space="preserve"> </w:t>
      </w:r>
      <w:r>
        <w:rPr>
          <w:b/>
          <w:bCs/>
        </w:rPr>
        <w:t xml:space="preserve">Fla. Stat. § 39.201</w:t>
      </w:r>
      <w:r>
        <w:t xml:space="preserve">) apply depends on the Pro’s own professional status. PureTask does not retaliate against any Pro who in good faith makes such a report.</w:t>
      </w:r>
    </w:p>
    <w:bookmarkEnd w:id="15"/>
    <w:bookmarkStart w:id="16" w:name="service-animals"/>
    <w:p>
      <w:pPr>
        <w:pStyle w:val="Heading3"/>
      </w:pPr>
      <w:r>
        <w:t xml:space="preserve">4.3 Service Animals</w:t>
      </w:r>
    </w:p>
    <w:p>
      <w:pPr>
        <w:pStyle w:val="FirstParagraph"/>
      </w:pPr>
      <w:r>
        <w:t xml:space="preserve">Pros may not refuse a Booking due to the presence of a service animal at the property, consistent with</w:t>
      </w:r>
      <w:r>
        <w:t xml:space="preserve"> </w:t>
      </w:r>
      <w:r>
        <w:rPr>
          <w:b/>
          <w:bCs/>
        </w:rPr>
        <w:t xml:space="preserve">Title III of the ADA</w:t>
      </w:r>
      <w:r>
        <w:t xml:space="preserve"> </w:t>
      </w:r>
      <w:r>
        <w:t xml:space="preserve">(28 C.F.R. § 36.302), the</w:t>
      </w:r>
      <w:r>
        <w:t xml:space="preserve"> </w:t>
      </w:r>
      <w:r>
        <w:rPr>
          <w:b/>
          <w:bCs/>
        </w:rPr>
        <w:t xml:space="preserve">California Unruh Civil Rights Act</w:t>
      </w:r>
      <w:r>
        <w:t xml:space="preserve"> </w:t>
      </w:r>
      <w:r>
        <w:t xml:space="preserve">and the</w:t>
      </w:r>
      <w:r>
        <w:t xml:space="preserve"> </w:t>
      </w:r>
      <w:r>
        <w:rPr>
          <w:b/>
          <w:bCs/>
        </w:rPr>
        <w:t xml:space="preserve">Disabled Persons Act (Cal. Civ. Code § 54)</w:t>
      </w:r>
      <w:r>
        <w:t xml:space="preserve">, and</w:t>
      </w:r>
      <w:r>
        <w:t xml:space="preserve"> </w:t>
      </w:r>
      <w:r>
        <w:rPr>
          <w:b/>
          <w:bCs/>
        </w:rPr>
        <w:t xml:space="preserve">Florida Statutes § 413.08</w:t>
      </w:r>
      <w:r>
        <w:t xml:space="preserve">. Pros with severe allergies should disclose those before accepting a Booking; Pros may decline a particular Booking based on disclosed property risks (severe pet hair triggering documented allergic reaction) but may not refuse all Bookings with service animals as a category.</w:t>
      </w:r>
    </w:p>
    <w:p>
      <w:r>
        <w:pict>
          <v:rect style="width:0;height:1.5pt" o:hralign="center" o:hrstd="t" o:hr="t"/>
        </w:pict>
      </w:r>
    </w:p>
    <w:bookmarkEnd w:id="16"/>
    <w:bookmarkEnd w:id="17"/>
    <w:bookmarkStart w:id="18" w:name="content-rules"/>
    <w:p>
      <w:pPr>
        <w:pStyle w:val="Heading2"/>
      </w:pPr>
      <w:r>
        <w:t xml:space="preserve">5. Content Rules</w:t>
      </w:r>
    </w:p>
    <w:p>
      <w:pPr>
        <w:pStyle w:val="FirstParagraph"/>
      </w:pPr>
      <w:r>
        <w:t xml:space="preserve">You will not post content that:</w:t>
      </w:r>
    </w:p>
    <w:p>
      <w:pPr>
        <w:pStyle w:val="Compact"/>
        <w:numPr>
          <w:ilvl w:val="0"/>
          <w:numId w:val="1009"/>
        </w:numPr>
      </w:pPr>
      <w:r>
        <w:t xml:space="preserve">Infringes copyright, trademark, trade secrets, or other intellectual-property rights;</w:t>
      </w:r>
    </w:p>
    <w:p>
      <w:pPr>
        <w:pStyle w:val="Compact"/>
        <w:numPr>
          <w:ilvl w:val="0"/>
          <w:numId w:val="1009"/>
        </w:numPr>
      </w:pPr>
      <w:r>
        <w:t xml:space="preserve">Contains personal information of third parties without their consent;</w:t>
      </w:r>
    </w:p>
    <w:p>
      <w:pPr>
        <w:pStyle w:val="Compact"/>
        <w:numPr>
          <w:ilvl w:val="0"/>
          <w:numId w:val="1009"/>
        </w:numPr>
      </w:pPr>
      <w:r>
        <w:t xml:space="preserve">Promotes violence, illegal activity, or hatred against a protected group, including display of hate symbols;</w:t>
      </w:r>
    </w:p>
    <w:p>
      <w:pPr>
        <w:pStyle w:val="Compact"/>
        <w:numPr>
          <w:ilvl w:val="0"/>
          <w:numId w:val="1009"/>
        </w:numPr>
      </w:pPr>
      <w:r>
        <w:t xml:space="preserve">Constitutes commercial advertising, multi-level marketing, or external promotional material;</w:t>
      </w:r>
    </w:p>
    <w:p>
      <w:pPr>
        <w:pStyle w:val="Compact"/>
        <w:numPr>
          <w:ilvl w:val="0"/>
          <w:numId w:val="1009"/>
        </w:numPr>
      </w:pPr>
      <w:r>
        <w:t xml:space="preserve">Misrepresents endorsements, affiliations, or sponsorships, including any claim of PureTask employment or partnership;</w:t>
      </w:r>
    </w:p>
    <w:p>
      <w:pPr>
        <w:pStyle w:val="Compact"/>
        <w:numPr>
          <w:ilvl w:val="0"/>
          <w:numId w:val="1009"/>
        </w:numPr>
      </w:pPr>
      <w:r>
        <w:t xml:space="preserve">Is intentionally or negligently false in a way that could mislead a User about safety, qualifications, or material facts;</w:t>
      </w:r>
    </w:p>
    <w:p>
      <w:pPr>
        <w:pStyle w:val="Compact"/>
        <w:numPr>
          <w:ilvl w:val="0"/>
          <w:numId w:val="1009"/>
        </w:numPr>
      </w:pPr>
      <w:r>
        <w:t xml:space="preserve">Constitutes deepfakes, manipulated media, or AI-generated content misrepresented as authentic; or</w:t>
      </w:r>
    </w:p>
    <w:p>
      <w:pPr>
        <w:pStyle w:val="Compact"/>
        <w:numPr>
          <w:ilvl w:val="0"/>
          <w:numId w:val="1009"/>
        </w:numPr>
      </w:pPr>
      <w:r>
        <w:t xml:space="preserve">Violates any applicable law.</w:t>
      </w:r>
    </w:p>
    <w:p>
      <w:r>
        <w:pict>
          <v:rect style="width:0;height:1.5pt" o:hralign="center" o:hrstd="t" o:hr="t"/>
        </w:pict>
      </w:r>
    </w:p>
    <w:bookmarkEnd w:id="18"/>
    <w:bookmarkStart w:id="19" w:name="reporting-violations"/>
    <w:p>
      <w:pPr>
        <w:pStyle w:val="Heading2"/>
      </w:pPr>
      <w:r>
        <w:t xml:space="preserve">6. Reporting Violations</w:t>
      </w:r>
    </w:p>
    <w:p>
      <w:pPr>
        <w:pStyle w:val="FirstParagraph"/>
      </w:pPr>
      <w:r>
        <w:t xml:space="preserve">Report violations to</w:t>
      </w:r>
      <w:r>
        <w:t xml:space="preserve"> </w:t>
      </w:r>
      <w:r>
        <w:rPr>
          <w:b/>
          <w:bCs/>
        </w:rPr>
        <w:t xml:space="preserve">otherpuretask@gmail.com</w:t>
      </w:r>
      <w:r>
        <w:t xml:space="preserve"> </w:t>
      </w:r>
      <w:r>
        <w:t xml:space="preserve">with subject “</w:t>
      </w:r>
      <w:r>
        <w:rPr>
          <w:b/>
          <w:bCs/>
        </w:rPr>
        <w:t xml:space="preserve">AUP Report</w:t>
      </w:r>
      <w:r>
        <w:t xml:space="preserve">” and include:</w:t>
      </w:r>
    </w:p>
    <w:p>
      <w:pPr>
        <w:pStyle w:val="Compact"/>
        <w:numPr>
          <w:ilvl w:val="0"/>
          <w:numId w:val="1010"/>
        </w:numPr>
      </w:pPr>
      <w:r>
        <w:t xml:space="preserve">Your name and account email;</w:t>
      </w:r>
    </w:p>
    <w:p>
      <w:pPr>
        <w:pStyle w:val="Compact"/>
        <w:numPr>
          <w:ilvl w:val="0"/>
          <w:numId w:val="1010"/>
        </w:numPr>
      </w:pPr>
      <w:r>
        <w:t xml:space="preserve">The User, content, or behavior at issue;</w:t>
      </w:r>
    </w:p>
    <w:p>
      <w:pPr>
        <w:pStyle w:val="Compact"/>
        <w:numPr>
          <w:ilvl w:val="0"/>
          <w:numId w:val="1010"/>
        </w:numPr>
      </w:pPr>
      <w:r>
        <w:t xml:space="preserve">Date, time, and location of the incident; and</w:t>
      </w:r>
    </w:p>
    <w:p>
      <w:pPr>
        <w:pStyle w:val="Compact"/>
        <w:numPr>
          <w:ilvl w:val="0"/>
          <w:numId w:val="1010"/>
        </w:numPr>
      </w:pPr>
      <w:r>
        <w:t xml:space="preserve">Any supporting evidence (screenshots, photos, messages).</w:t>
      </w:r>
    </w:p>
    <w:p>
      <w:pPr>
        <w:pStyle w:val="FirstParagraph"/>
      </w:pPr>
      <w:r>
        <w:t xml:space="preserve">PureTask does not retaliate against good-faith reports. False or bad-faith reports may themselves be a violation.</w:t>
      </w:r>
    </w:p>
    <w:p>
      <w:pPr>
        <w:pStyle w:val="BodyText"/>
      </w:pPr>
      <w:r>
        <w:t xml:space="preserve">Reports of imminent danger or serious crimes should also be made to</w:t>
      </w:r>
      <w:r>
        <w:t xml:space="preserve"> </w:t>
      </w:r>
      <w:r>
        <w:rPr>
          <w:b/>
          <w:bCs/>
        </w:rPr>
        <w:t xml:space="preserve">local emergency services (911)</w:t>
      </w:r>
      <w:r>
        <w:t xml:space="preserve">.</w:t>
      </w:r>
    </w:p>
    <w:p>
      <w:r>
        <w:pict>
          <v:rect style="width:0;height:1.5pt" o:hralign="center" o:hrstd="t" o:hr="t"/>
        </w:pict>
      </w:r>
    </w:p>
    <w:bookmarkEnd w:id="19"/>
    <w:bookmarkStart w:id="21" w:name="enforcement"/>
    <w:p>
      <w:pPr>
        <w:pStyle w:val="Heading2"/>
      </w:pPr>
      <w:r>
        <w:t xml:space="preserve">7. Enforcement</w:t>
      </w:r>
    </w:p>
    <w:p>
      <w:pPr>
        <w:pStyle w:val="FirstParagraph"/>
      </w:pPr>
      <w:r>
        <w:t xml:space="preserve">We may, in our sole discretion and without prior notice:</w:t>
      </w:r>
    </w:p>
    <w:p>
      <w:pPr>
        <w:pStyle w:val="Compact"/>
        <w:numPr>
          <w:ilvl w:val="0"/>
          <w:numId w:val="1011"/>
        </w:numPr>
      </w:pPr>
      <w:r>
        <w:t xml:space="preserve">Remove or restrict content;</w:t>
      </w:r>
    </w:p>
    <w:p>
      <w:pPr>
        <w:pStyle w:val="Compact"/>
        <w:numPr>
          <w:ilvl w:val="0"/>
          <w:numId w:val="1011"/>
        </w:numPr>
      </w:pPr>
      <w:r>
        <w:t xml:space="preserve">Limit features, geographies, or functionality;</w:t>
      </w:r>
    </w:p>
    <w:p>
      <w:pPr>
        <w:pStyle w:val="Compact"/>
        <w:numPr>
          <w:ilvl w:val="0"/>
          <w:numId w:val="1011"/>
        </w:numPr>
      </w:pPr>
      <w:r>
        <w:t xml:space="preserve">Suspend or terminate accounts;</w:t>
      </w:r>
    </w:p>
    <w:p>
      <w:pPr>
        <w:pStyle w:val="Compact"/>
        <w:numPr>
          <w:ilvl w:val="0"/>
          <w:numId w:val="1011"/>
        </w:numPr>
      </w:pPr>
      <w:r>
        <w:t xml:space="preserve">Withhold or reverse payouts associated with violations through Stripe Connect;</w:t>
      </w:r>
    </w:p>
    <w:p>
      <w:pPr>
        <w:pStyle w:val="Compact"/>
        <w:numPr>
          <w:ilvl w:val="0"/>
          <w:numId w:val="1011"/>
        </w:numPr>
      </w:pPr>
      <w:r>
        <w:t xml:space="preserve">Pursue claims for damages, fees, or chargebacks; and</w:t>
      </w:r>
    </w:p>
    <w:p>
      <w:pPr>
        <w:pStyle w:val="Compact"/>
        <w:numPr>
          <w:ilvl w:val="0"/>
          <w:numId w:val="1011"/>
        </w:numPr>
      </w:pPr>
      <w:r>
        <w:t xml:space="preserve">Cooperate with law enforcement and regulators.</w:t>
      </w:r>
    </w:p>
    <w:p>
      <w:pPr>
        <w:pStyle w:val="FirstParagraph"/>
      </w:pPr>
      <w:r>
        <w:t xml:space="preserve">Our enforcement decisions are not legal determinations. Repeated or severe violations may result in permanent ban and a prohibition on creating new accounts.</w:t>
      </w:r>
    </w:p>
    <w:bookmarkStart w:id="20" w:name="appeals"/>
    <w:p>
      <w:pPr>
        <w:pStyle w:val="Heading3"/>
      </w:pPr>
      <w:r>
        <w:t xml:space="preserve">7.1 Appeals</w:t>
      </w:r>
    </w:p>
    <w:p>
      <w:pPr>
        <w:pStyle w:val="FirstParagraph"/>
      </w:pPr>
      <w:r>
        <w:t xml:space="preserve">A User whose account is suspended or terminated may appeal by emailing</w:t>
      </w:r>
      <w:r>
        <w:t xml:space="preserve"> </w:t>
      </w:r>
      <w:r>
        <w:rPr>
          <w:b/>
          <w:bCs/>
        </w:rPr>
        <w:t xml:space="preserve">otherpuretask@gmail.com</w:t>
      </w:r>
      <w:r>
        <w:t xml:space="preserve">, subject “</w:t>
      </w:r>
      <w:r>
        <w:rPr>
          <w:b/>
          <w:bCs/>
        </w:rPr>
        <w:t xml:space="preserve">Appeal</w:t>
      </w:r>
      <w:r>
        <w:t xml:space="preserve">,” within</w:t>
      </w:r>
      <w:r>
        <w:t xml:space="preserve"> </w:t>
      </w:r>
      <w:r>
        <w:rPr>
          <w:b/>
          <w:bCs/>
        </w:rPr>
        <w:t xml:space="preserve">30 days</w:t>
      </w:r>
      <w:r>
        <w:t xml:space="preserve">. Appeals are reviewed by a person not involved in the original decision. Appeal decisions are final.</w:t>
      </w:r>
    </w:p>
    <w:p>
      <w:r>
        <w:pict>
          <v:rect style="width:0;height:1.5pt" o:hralign="center" o:hrstd="t" o:hr="t"/>
        </w:pict>
      </w:r>
    </w:p>
    <w:bookmarkEnd w:id="20"/>
    <w:bookmarkEnd w:id="21"/>
    <w:bookmarkStart w:id="22" w:name="changes"/>
    <w:p>
      <w:pPr>
        <w:pStyle w:val="Heading2"/>
      </w:pPr>
      <w:r>
        <w:t xml:space="preserve">8. Changes</w:t>
      </w:r>
    </w:p>
    <w:p>
      <w:pPr>
        <w:pStyle w:val="FirstParagraph"/>
      </w:pPr>
      <w:r>
        <w:t xml:space="preserve">We may update this AUP. Material changes will be posted with an updated effective date. Continued use after changes constitutes acceptance.</w:t>
      </w:r>
    </w:p>
    <w:p>
      <w:r>
        <w:pict>
          <v:rect style="width:0;height:1.5pt" o:hralign="center" o:hrstd="t" o:hr="t"/>
        </w:pict>
      </w:r>
    </w:p>
    <w:bookmarkEnd w:id="22"/>
    <w:bookmarkStart w:id="23" w:name="contact"/>
    <w:p>
      <w:pPr>
        <w:pStyle w:val="Heading2"/>
      </w:pPr>
      <w:r>
        <w:t xml:space="preserve">9. Contact</w:t>
      </w:r>
    </w:p>
    <w:p>
      <w:pPr>
        <w:pStyle w:val="FirstParagraph"/>
      </w:pPr>
      <w:r>
        <w:rPr>
          <w:b/>
          <w:bCs/>
        </w:rPr>
        <w:t xml:space="preserve">PureTask LLC</w:t>
      </w:r>
      <w:r>
        <w:t xml:space="preserve"> </w:t>
      </w:r>
      <w:r>
        <w:t xml:space="preserve">· Sacramento, CA ·</w:t>
      </w:r>
      <w:r>
        <w:t xml:space="preserve"> </w:t>
      </w:r>
      <w:r>
        <w:rPr>
          <w:b/>
          <w:bCs/>
        </w:rPr>
        <w:t xml:space="preserve">otherpuretask@gmail.com</w:t>
      </w:r>
    </w:p>
    <w:p>
      <w:r>
        <w:pict>
          <v:rect style="width:0;height:1.5pt" o:hralign="center" o:hrstd="t" o:hr="t"/>
        </w:pict>
      </w:r>
    </w:p>
    <w:p>
      <w:pPr>
        <w:pStyle w:val="FirstParagraph"/>
      </w:pPr>
      <w:r>
        <w:rPr>
          <w:i/>
          <w:iCs/>
        </w:rPr>
        <w:t xml:space="preserve">This document is a general template. It is not legal advice.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egal/terms" TargetMode="External" /></Relationships>
</file>

<file path=word/_rels/footnotes.xml.rels><?xml version="1.0" encoding="UTF-8"?><Relationships xmlns="http://schemas.openxmlformats.org/package/2006/relationships"><Relationship Type="http://schemas.openxmlformats.org/officeDocument/2006/relationships/hyperlink" Id="rId9" Target="/legal/te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2026-05-17T16:59:41Z</dcterms:created>
  <dcterms:modified xsi:type="dcterms:W3CDTF">2026-05-17T16:59:41Z</dcterms:modified>
</cp:coreProperties>
</file>

<file path=docProps/custom.xml><?xml version="1.0" encoding="utf-8"?>
<Properties xmlns="http://schemas.openxmlformats.org/officeDocument/2006/custom-properties" xmlns:vt="http://schemas.openxmlformats.org/officeDocument/2006/docPropsVTypes"/>
</file>