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Daniel Oakes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daniel.oakes@example.com | +44 7700 900123 | Manchester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A dynamic, results-driven creative technologist with a passion for leveraging cutting-edge visual technologies to deliver best-in-class outcomes across a broad spectrum of interactive media.</w:t>
      </w:r>
    </w:p>
    <w:p>
      <w:pPr>
        <w:spacing w:after="80"/>
      </w:pPr>
      <w:r>
        <w:rPr>
          <w:sz w:val="20"/>
          <w:szCs w:val="20"/>
        </w:rPr>
        <w:t xml:space="preserve">Recognised for strategic thinking, stakeholder alignment and a relentless focus on quality.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Creative Technologist, Lumen Digital Agency (2022–2026)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Contributed to award-winning interactive brand experiences for major clients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Collaborated cross-functionally with design, strategy and delivery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Championed innovation and best practice across the creative technology function</w:t>
      </w:r>
    </w:p>
    <w:p>
      <w:pPr>
        <w:spacing w:after="80"/>
      </w:pPr>
      <w:r>
        <w:rPr>
          <w:sz w:val="20"/>
          <w:szCs w:val="20"/>
        </w:rPr>
        <w:t xml:space="preserve">Motion Designer, Pixelworks Creative (2019–2022)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Delivered high-impact motion graphics for broadcast and digital campaigns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Partnered with clients to translate briefs into compelling visual narratives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After Effects, Cinema 4D, Unity (basic), storytelling, client presentation, agile delivery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BA Graphic Design, Manchester Metropolitan University (2019)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2026-09-09T21:02:38.912Z</dcterms:created>
  <dcterms:modified xsi:type="dcterms:W3CDTF">2026-09-09T21:02:38.912Z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