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pPr>
      <w:r>
        <w:t xml:space="preserve"/>
      </w:r>
    </w:p>
    <w:p>
      <w:pPr>
        <w:spacing w:before="0" w:after="80"/>
        <w:jc w:val="center"/>
      </w:pPr>
      <w:r>
        <w:rPr>
          <w:rFonts w:ascii="Arial" w:cs="Arial" w:eastAsia="Arial" w:hAnsi="Arial"/>
          <w:b/>
          <w:bCs/>
          <w:color w:val="2D6A4F"/>
          <w:sz w:val="56"/>
          <w:szCs w:val="56"/>
        </w:rPr>
        <w:t xml:space="preserve">ELEKTRA NAIL CARE</w:t>
      </w:r>
    </w:p>
    <w:p>
      <w:pPr>
        <w:spacing w:before="0" w:after="60"/>
        <w:jc w:val="center"/>
      </w:pPr>
      <w:r>
        <w:rPr>
          <w:rFonts w:ascii="Arial" w:cs="Arial" w:eastAsia="Arial" w:hAnsi="Arial"/>
          <w:color w:val="000000"/>
          <w:sz w:val="36"/>
          <w:szCs w:val="36"/>
        </w:rPr>
        <w:t xml:space="preserve">Blue Ocean Strategy</w:t>
      </w:r>
    </w:p>
    <w:p>
      <w:pPr>
        <w:spacing w:before="0" w:after="320"/>
        <w:jc w:val="center"/>
      </w:pPr>
      <w:r>
        <w:rPr>
          <w:rFonts w:ascii="Arial" w:cs="Arial" w:eastAsia="Arial" w:hAnsi="Arial"/>
          <w:i/>
          <w:iCs/>
          <w:color w:val="555555"/>
          <w:sz w:val="26"/>
          <w:szCs w:val="26"/>
        </w:rPr>
        <w:t xml:space="preserve">Nail Wellness for an Underserved World</w:t>
      </w:r>
    </w:p>
    <w:p>
      <w:pPr>
        <w:pBdr>
          <w:bottom w:val="single" w:color="2D6A4F" w:sz="8" w:space="1"/>
        </w:pBdr>
        <w:spacing w:before="0" w:after="0"/>
      </w:pPr>
      <w:r>
        <w:t xml:space="preserve"/>
      </w:r>
    </w:p>
    <w:p>
      <w:pPr>
        <w:spacing w:before="320" w:after="320"/>
      </w:pPr>
      <w:r>
        <w:t xml:space="preserve"/>
      </w:r>
    </w:p>
    <w:p>
      <w:pPr>
        <w:pStyle w:val="Heading1"/>
        <w:spacing w:before="400" w:after="120"/>
      </w:pPr>
      <w:r>
        <w:rPr>
          <w:rFonts w:ascii="Arial" w:cs="Arial" w:eastAsia="Arial" w:hAnsi="Arial"/>
          <w:b/>
          <w:bCs/>
          <w:color w:val="2D6A4F"/>
          <w:sz w:val="36"/>
          <w:szCs w:val="36"/>
        </w:rPr>
        <w:t xml:space="preserve">Executive Overview</w:t>
      </w:r>
    </w:p>
    <w:p>
      <w:pPr>
        <w:pBdr>
          <w:bottom w:val="single" w:color="CCCCCC" w:sz="6" w:space="1"/>
        </w:pBdr>
        <w:spacing w:before="0" w:after="0"/>
      </w:pPr>
      <w:r>
        <w:t xml:space="preserve"/>
      </w:r>
    </w:p>
    <w:p>
      <w:pPr>
        <w:spacing w:before="100" w:after="60"/>
      </w:pPr>
      <w:r>
        <w:t xml:space="preserve"/>
      </w:r>
    </w:p>
    <w:p>
      <w:pPr>
        <w:spacing w:before="80" w:after="80"/>
      </w:pPr>
      <w:r>
        <w:rPr>
          <w:rFonts w:ascii="Arial" w:cs="Arial" w:eastAsia="Arial" w:hAnsi="Arial"/>
          <w:color w:val="1B1B1B"/>
          <w:sz w:val="22"/>
          <w:szCs w:val="22"/>
        </w:rPr>
        <w:t xml:space="preserve">Elektra Nail Care is not a nail salon. It is a nail wellness practice — and that distinction is the foundation of its Blue Ocean. While the $10B U.S. nail industry competes in a race to the bottom on price, speed, and volume, Elektra has spent over a decade quietly building a different kind of business: one rooted in health, patience, and genuine client relationships.</w:t>
      </w:r>
    </w:p>
    <w:p>
      <w:pPr>
        <w:spacing w:before="80" w:after="80"/>
      </w:pPr>
      <w:r>
        <w:t xml:space="preserve"/>
      </w:r>
    </w:p>
    <w:p>
      <w:pPr>
        <w:spacing w:before="80" w:after="80"/>
      </w:pPr>
      <w:r>
        <w:rPr>
          <w:rFonts w:ascii="Arial" w:cs="Arial" w:eastAsia="Arial" w:hAnsi="Arial"/>
          <w:color w:val="1B1B1B"/>
          <w:sz w:val="22"/>
          <w:szCs w:val="22"/>
        </w:rPr>
        <w:t xml:space="preserve">This strategy formalizes what Elektra already does intuitively and creates a structured path to own a market space that does not yet have a name — Therapeutic Nail Wellness — designed specifically for mature adults, health-conscious professionals, and anyone who has felt like just a number in a traditional salon.</w:t>
      </w:r>
    </w:p>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Blue Ocean Thesis</w:t>
            </w:r>
          </w:p>
        </w:tc>
        <w:tc>
          <w:tcPr>
            <w:tcW w:type="dxa" w:w="6360"/>
            <w:tcBorders>
              <w:top w:val="single" w:color="CCCCCC" w:sz="1"/>
              <w:left w:val="single" w:color="CCCCCC" w:sz="1"/>
              <w:bottom w:val="single" w:color="CCCCCC" w:sz="1"/>
              <w:right w:val="single" w:color="CCCCCC" w:sz="1"/>
            </w:tcBorders>
            <w:shd w:fill="D8F3DC" w:val="clear"/>
            <w:tcMar>
              <w:top w:type="dxa" w:w="100"/>
              <w:left w:type="dxa" w:w="160"/>
              <w:bottom w:type="dxa" w:w="100"/>
              <w:right w:type="dxa" w:w="160"/>
            </w:tcMar>
          </w:tcPr>
          <w:p>
            <w:r>
              <w:rPr>
                <w:rFonts w:ascii="Arial" w:cs="Arial" w:eastAsia="Arial" w:hAnsi="Arial"/>
                <w:color w:val="1B1B1B"/>
                <w:sz w:val="22"/>
                <w:szCs w:val="22"/>
              </w:rPr>
              <w:t xml:space="preserve">Redefine nail care as a health practice, not a beauty commodity — capturing clients who have been ignored, underserved, or burned by the speed-focused salon industry.</w:t>
            </w:r>
          </w:p>
        </w:tc>
      </w:tr>
    </w:tbl>
    <w:p>
      <w:pPr>
        <w:spacing w:before="200" w:after="100"/>
      </w:pPr>
      <w:r>
        <w:t xml:space="preserve"/>
      </w:r>
    </w:p>
    <w:p>
      <w:pPr>
        <w:pStyle w:val="Heading1"/>
        <w:spacing w:before="400" w:after="120"/>
      </w:pPr>
      <w:r>
        <w:rPr>
          <w:rFonts w:ascii="Arial" w:cs="Arial" w:eastAsia="Arial" w:hAnsi="Arial"/>
          <w:b/>
          <w:bCs/>
          <w:color w:val="2D6A4F"/>
          <w:sz w:val="36"/>
          <w:szCs w:val="36"/>
        </w:rPr>
        <w:t xml:space="preserve">The Red Ocean Problem</w:t>
      </w:r>
    </w:p>
    <w:p>
      <w:pPr>
        <w:pBdr>
          <w:bottom w:val="single" w:color="CCCCCC" w:sz="6" w:space="1"/>
        </w:pBdr>
        <w:spacing w:before="0" w:after="0"/>
      </w:pPr>
      <w:r>
        <w:t xml:space="preserve"/>
      </w:r>
    </w:p>
    <w:p>
      <w:pPr>
        <w:spacing w:before="100" w:after="60"/>
      </w:pPr>
      <w:r>
        <w:t xml:space="preserve"/>
      </w:r>
    </w:p>
    <w:p>
      <w:pPr>
        <w:spacing w:before="80" w:after="80"/>
      </w:pPr>
      <w:r>
        <w:rPr>
          <w:rFonts w:ascii="Arial" w:cs="Arial" w:eastAsia="Arial" w:hAnsi="Arial"/>
          <w:color w:val="1B1B1B"/>
          <w:sz w:val="22"/>
          <w:szCs w:val="22"/>
        </w:rPr>
        <w:t xml:space="preserve">The traditional nail salon industry is deeply congested. Thousands of salons compete on the same factors: price, location, and speed. The experience has become transactional — high volume, high turnover, low trust. Sanitation concerns are widespread. Elderly and mature clients feel rushed or overlooked. Men’s grooming is an afterthought. And nobody is talking about nail health.</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Red Ocean (Traditional Salons)</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Elektra’s Blue Ocean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Price wars &amp; discounting</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Therapeutic value &amp; trust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Volume-first appointment stacking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Intentional session pacing</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Trendy aesthetics (seasonal, viral)</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Health-centered outcomes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Walk-in culture, no loyalty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Relationship-based retention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One-size-fits-all service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Customized care by client profile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Young female clientele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Mature adults, men, health-focused</w:t>
            </w:r>
          </w:p>
        </w:tc>
      </w:tr>
    </w:tbl>
    <w:p>
      <w:pPr>
        <w:spacing w:before="200" w:after="100"/>
      </w:pPr>
      <w:r>
        <w:t xml:space="preserve"/>
      </w:r>
    </w:p>
    <w:p>
      <w:pPr>
        <w:pStyle w:val="Heading1"/>
        <w:spacing w:before="400" w:after="120"/>
      </w:pPr>
      <w:r>
        <w:rPr>
          <w:rFonts w:ascii="Arial" w:cs="Arial" w:eastAsia="Arial" w:hAnsi="Arial"/>
          <w:b/>
          <w:bCs/>
          <w:color w:val="2D6A4F"/>
          <w:sz w:val="36"/>
          <w:szCs w:val="36"/>
        </w:rPr>
        <w:t xml:space="preserve">Strategic Differentiation: ERRC Grid</w:t>
      </w:r>
    </w:p>
    <w:p>
      <w:pPr>
        <w:pBdr>
          <w:bottom w:val="single" w:color="CCCCCC" w:sz="6" w:space="1"/>
        </w:pBdr>
        <w:spacing w:before="0" w:after="0"/>
      </w:pPr>
      <w:r>
        <w:t xml:space="preserve"/>
      </w:r>
    </w:p>
    <w:p>
      <w:pPr>
        <w:spacing w:before="100" w:after="60"/>
      </w:pPr>
      <w:r>
        <w:t xml:space="preserve"/>
      </w:r>
    </w:p>
    <w:p>
      <w:pPr>
        <w:spacing w:before="80" w:after="80"/>
      </w:pPr>
      <w:r>
        <w:rPr>
          <w:rFonts w:ascii="Arial" w:cs="Arial" w:eastAsia="Arial" w:hAnsi="Arial"/>
          <w:color w:val="1B1B1B"/>
          <w:sz w:val="22"/>
          <w:szCs w:val="22"/>
        </w:rPr>
        <w:t xml:space="preserve">The ERRC (Eliminate, Reduce, Raise, Create) framework maps exactly how Elektra reconstructs its market. This is not about doing everything a salon does but better — it’s about doing a fundamentally different set of things.</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C0392B"/>
                <w:sz w:val="24"/>
                <w:szCs w:val="24"/>
              </w:rPr>
              <w:t xml:space="preserve">ELIMINATE</w:t>
            </w:r>
          </w:p>
          <w:p>
            <w:pPr>
              <w:spacing w:before="60" w:after="60"/>
            </w:pPr>
            <w:r>
              <w:t xml:space="preserve"/>
            </w:r>
          </w:p>
          <w:p>
            <w:pPr>
              <w:pStyle w:val="ListParagraph"/>
              <w:numPr>
                <w:ilvl w:val="0"/>
                <w:numId w:val="2"/>
              </w:numPr>
              <w:spacing w:before="40" w:after="40"/>
            </w:pPr>
            <w:r>
              <w:rPr>
                <w:rFonts w:ascii="Arial" w:cs="Arial" w:eastAsia="Arial" w:hAnsi="Arial"/>
                <w:color w:val="1B1B1B"/>
                <w:sz w:val="20"/>
                <w:szCs w:val="20"/>
              </w:rPr>
              <w:t xml:space="preserve">Walk-in volume pressure</w:t>
            </w:r>
          </w:p>
          <w:p>
            <w:pPr>
              <w:pStyle w:val="ListParagraph"/>
              <w:numPr>
                <w:ilvl w:val="0"/>
                <w:numId w:val="2"/>
              </w:numPr>
              <w:spacing w:before="40" w:after="40"/>
            </w:pPr>
            <w:r>
              <w:rPr>
                <w:rFonts w:ascii="Arial" w:cs="Arial" w:eastAsia="Arial" w:hAnsi="Arial"/>
                <w:color w:val="1B1B1B"/>
                <w:sz w:val="20"/>
                <w:szCs w:val="20"/>
              </w:rPr>
              <w:t xml:space="preserve">Upselling culture</w:t>
            </w:r>
          </w:p>
          <w:p>
            <w:pPr>
              <w:pStyle w:val="ListParagraph"/>
              <w:numPr>
                <w:ilvl w:val="0"/>
                <w:numId w:val="2"/>
              </w:numPr>
              <w:spacing w:before="40" w:after="40"/>
            </w:pPr>
            <w:r>
              <w:rPr>
                <w:rFonts w:ascii="Arial" w:cs="Arial" w:eastAsia="Arial" w:hAnsi="Arial"/>
                <w:color w:val="1B1B1B"/>
                <w:sz w:val="20"/>
                <w:szCs w:val="20"/>
              </w:rPr>
              <w:t xml:space="preserve">Rushed appointment slots</w:t>
            </w:r>
          </w:p>
          <w:p>
            <w:pPr>
              <w:pStyle w:val="ListParagraph"/>
              <w:numPr>
                <w:ilvl w:val="0"/>
                <w:numId w:val="2"/>
              </w:numPr>
              <w:spacing w:before="40" w:after="40"/>
            </w:pPr>
            <w:r>
              <w:rPr>
                <w:rFonts w:ascii="Arial" w:cs="Arial" w:eastAsia="Arial" w:hAnsi="Arial"/>
                <w:color w:val="1B1B1B"/>
                <w:sz w:val="20"/>
                <w:szCs w:val="20"/>
              </w:rPr>
              <w:t xml:space="preserve">Generic retail polish walls</w:t>
            </w:r>
          </w:p>
          <w:p>
            <w:pPr>
              <w:pStyle w:val="ListParagraph"/>
              <w:numPr>
                <w:ilvl w:val="0"/>
                <w:numId w:val="2"/>
              </w:numPr>
              <w:spacing w:before="40" w:after="40"/>
            </w:pPr>
            <w:r>
              <w:rPr>
                <w:rFonts w:ascii="Arial" w:cs="Arial" w:eastAsia="Arial" w:hAnsi="Arial"/>
                <w:color w:val="1B1B1B"/>
                <w:sz w:val="20"/>
                <w:szCs w:val="20"/>
              </w:rPr>
              <w:t xml:space="preserve">Trend-chasing seasonal themes</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E67E22"/>
                <w:sz w:val="24"/>
                <w:szCs w:val="24"/>
              </w:rPr>
              <w:t xml:space="preserve">REDUCE</w:t>
            </w:r>
          </w:p>
          <w:p>
            <w:pPr>
              <w:spacing w:before="60" w:after="60"/>
            </w:pPr>
            <w:r>
              <w:t xml:space="preserve"/>
            </w:r>
          </w:p>
          <w:p>
            <w:pPr>
              <w:pStyle w:val="ListParagraph"/>
              <w:numPr>
                <w:ilvl w:val="0"/>
                <w:numId w:val="2"/>
              </w:numPr>
              <w:spacing w:before="40" w:after="40"/>
            </w:pPr>
            <w:r>
              <w:rPr>
                <w:rFonts w:ascii="Arial" w:cs="Arial" w:eastAsia="Arial" w:hAnsi="Arial"/>
                <w:color w:val="1B1B1B"/>
                <w:sz w:val="20"/>
                <w:szCs w:val="20"/>
              </w:rPr>
              <w:t xml:space="preserve">Social media dependency</w:t>
            </w:r>
          </w:p>
          <w:p>
            <w:pPr>
              <w:pStyle w:val="ListParagraph"/>
              <w:numPr>
                <w:ilvl w:val="0"/>
                <w:numId w:val="2"/>
              </w:numPr>
              <w:spacing w:before="40" w:after="40"/>
            </w:pPr>
            <w:r>
              <w:rPr>
                <w:rFonts w:ascii="Arial" w:cs="Arial" w:eastAsia="Arial" w:hAnsi="Arial"/>
                <w:color w:val="1B1B1B"/>
                <w:sz w:val="20"/>
                <w:szCs w:val="20"/>
              </w:rPr>
              <w:t xml:space="preserve">Traditional advertising spend</w:t>
            </w:r>
          </w:p>
          <w:p>
            <w:pPr>
              <w:pStyle w:val="ListParagraph"/>
              <w:numPr>
                <w:ilvl w:val="0"/>
                <w:numId w:val="2"/>
              </w:numPr>
              <w:spacing w:before="40" w:after="40"/>
            </w:pPr>
            <w:r>
              <w:rPr>
                <w:rFonts w:ascii="Arial" w:cs="Arial" w:eastAsia="Arial" w:hAnsi="Arial"/>
                <w:color w:val="1B1B1B"/>
                <w:sz w:val="20"/>
                <w:szCs w:val="20"/>
              </w:rPr>
              <w:t xml:space="preserve">Appointment volume per day</w:t>
            </w:r>
          </w:p>
          <w:p>
            <w:pPr>
              <w:pStyle w:val="ListParagraph"/>
              <w:numPr>
                <w:ilvl w:val="0"/>
                <w:numId w:val="2"/>
              </w:numPr>
              <w:spacing w:before="40" w:after="40"/>
            </w:pPr>
            <w:r>
              <w:rPr>
                <w:rFonts w:ascii="Arial" w:cs="Arial" w:eastAsia="Arial" w:hAnsi="Arial"/>
                <w:color w:val="1B1B1B"/>
                <w:sz w:val="20"/>
                <w:szCs w:val="20"/>
              </w:rPr>
              <w:t xml:space="preserve">Product SKU complexity</w:t>
            </w:r>
          </w:p>
          <w:p>
            <w:pPr>
              <w:pStyle w:val="ListParagraph"/>
              <w:numPr>
                <w:ilvl w:val="0"/>
                <w:numId w:val="2"/>
              </w:numPr>
              <w:spacing w:before="40" w:after="40"/>
            </w:pPr>
            <w:r>
              <w:rPr>
                <w:rFonts w:ascii="Arial" w:cs="Arial" w:eastAsia="Arial" w:hAnsi="Arial"/>
                <w:color w:val="1B1B1B"/>
                <w:sz w:val="20"/>
                <w:szCs w:val="20"/>
              </w:rPr>
              <w:t xml:space="preserve">Physical retail footprint</w:t>
            </w:r>
          </w:p>
        </w:tc>
      </w:tr>
      <w:tr>
        <w:tc>
          <w:tcPr>
            <w:tcW w:type="dxa" w:w="4680"/>
            <w:tcBorders>
              <w:top w:val="single" w:color="CCCCCC" w:sz="1"/>
              <w:left w:val="single" w:color="CCCCCC" w:sz="1"/>
              <w:bottom w:val="single" w:color="CCCCCC" w:sz="1"/>
              <w:right w:val="single" w:color="CCCCCC" w:sz="1"/>
            </w:tcBorders>
            <w:shd w:fill="D8F3DC" w:val="clear"/>
            <w:tcMar>
              <w:top w:type="dxa" w:w="120"/>
              <w:left w:type="dxa" w:w="160"/>
              <w:bottom w:type="dxa" w:w="120"/>
              <w:right w:type="dxa" w:w="160"/>
            </w:tcMar>
          </w:tcPr>
          <w:p>
            <w:r>
              <w:rPr>
                <w:rFonts w:ascii="Arial" w:cs="Arial" w:eastAsia="Arial" w:hAnsi="Arial"/>
                <w:b/>
                <w:bCs/>
                <w:color w:val="2D6A4F"/>
                <w:sz w:val="24"/>
                <w:szCs w:val="24"/>
              </w:rPr>
              <w:t xml:space="preserve">RAISE</w:t>
            </w:r>
          </w:p>
          <w:p>
            <w:pPr>
              <w:spacing w:before="60" w:after="60"/>
            </w:pPr>
            <w:r>
              <w:t xml:space="preserve"/>
            </w:r>
          </w:p>
          <w:p>
            <w:pPr>
              <w:pStyle w:val="ListParagraph"/>
              <w:numPr>
                <w:ilvl w:val="0"/>
                <w:numId w:val="2"/>
              </w:numPr>
              <w:spacing w:before="40" w:after="40"/>
            </w:pPr>
            <w:r>
              <w:rPr>
                <w:rFonts w:ascii="Arial" w:cs="Arial" w:eastAsia="Arial" w:hAnsi="Arial"/>
                <w:color w:val="1B1B1B"/>
                <w:sz w:val="20"/>
                <w:szCs w:val="20"/>
              </w:rPr>
              <w:t xml:space="preserve">Nail health consultation depth</w:t>
            </w:r>
          </w:p>
          <w:p>
            <w:pPr>
              <w:pStyle w:val="ListParagraph"/>
              <w:numPr>
                <w:ilvl w:val="0"/>
                <w:numId w:val="2"/>
              </w:numPr>
              <w:spacing w:before="40" w:after="40"/>
            </w:pPr>
            <w:r>
              <w:rPr>
                <w:rFonts w:ascii="Arial" w:cs="Arial" w:eastAsia="Arial" w:hAnsi="Arial"/>
                <w:color w:val="1B1B1B"/>
                <w:sz w:val="20"/>
                <w:szCs w:val="20"/>
              </w:rPr>
              <w:t xml:space="preserve">Session duration &amp; presence</w:t>
            </w:r>
          </w:p>
          <w:p>
            <w:pPr>
              <w:pStyle w:val="ListParagraph"/>
              <w:numPr>
                <w:ilvl w:val="0"/>
                <w:numId w:val="2"/>
              </w:numPr>
              <w:spacing w:before="40" w:after="40"/>
            </w:pPr>
            <w:r>
              <w:rPr>
                <w:rFonts w:ascii="Arial" w:cs="Arial" w:eastAsia="Arial" w:hAnsi="Arial"/>
                <w:color w:val="1B1B1B"/>
                <w:sz w:val="20"/>
                <w:szCs w:val="20"/>
              </w:rPr>
              <w:t xml:space="preserve">Client intimacy &amp; relationship</w:t>
            </w:r>
          </w:p>
          <w:p>
            <w:pPr>
              <w:pStyle w:val="ListParagraph"/>
              <w:numPr>
                <w:ilvl w:val="0"/>
                <w:numId w:val="2"/>
              </w:numPr>
              <w:spacing w:before="40" w:after="40"/>
            </w:pPr>
            <w:r>
              <w:rPr>
                <w:rFonts w:ascii="Arial" w:cs="Arial" w:eastAsia="Arial" w:hAnsi="Arial"/>
                <w:color w:val="1B1B1B"/>
                <w:sz w:val="20"/>
                <w:szCs w:val="20"/>
              </w:rPr>
              <w:t xml:space="preserve">Sanitation transparency</w:t>
            </w:r>
          </w:p>
          <w:p>
            <w:pPr>
              <w:pStyle w:val="ListParagraph"/>
              <w:numPr>
                <w:ilvl w:val="0"/>
                <w:numId w:val="2"/>
              </w:numPr>
              <w:spacing w:before="40" w:after="40"/>
            </w:pPr>
            <w:r>
              <w:rPr>
                <w:rFonts w:ascii="Arial" w:cs="Arial" w:eastAsia="Arial" w:hAnsi="Arial"/>
                <w:color w:val="1B1B1B"/>
                <w:sz w:val="20"/>
                <w:szCs w:val="20"/>
              </w:rPr>
              <w:t xml:space="preserve">Retail product craftsmanship</w:t>
            </w:r>
          </w:p>
        </w:tc>
        <w:tc>
          <w:tcPr>
            <w:tcW w:type="dxa" w:w="4680"/>
            <w:tcBorders>
              <w:top w:val="single" w:color="CCCCCC" w:sz="1"/>
              <w:left w:val="single" w:color="CCCCCC" w:sz="1"/>
              <w:bottom w:val="single" w:color="CCCCCC" w:sz="1"/>
              <w:right w:val="single" w:color="CCCCCC" w:sz="1"/>
            </w:tcBorders>
            <w:shd w:fill="D8F3DC" w:val="clear"/>
            <w:tcMar>
              <w:top w:type="dxa" w:w="120"/>
              <w:left w:type="dxa" w:w="160"/>
              <w:bottom w:type="dxa" w:w="120"/>
              <w:right w:type="dxa" w:w="160"/>
            </w:tcMar>
          </w:tcPr>
          <w:p>
            <w:r>
              <w:rPr>
                <w:rFonts w:ascii="Arial" w:cs="Arial" w:eastAsia="Arial" w:hAnsi="Arial"/>
                <w:b/>
                <w:bCs/>
                <w:color w:val="2D6A4F"/>
                <w:sz w:val="24"/>
                <w:szCs w:val="24"/>
              </w:rPr>
              <w:t xml:space="preserve">CREATE</w:t>
            </w:r>
          </w:p>
          <w:p>
            <w:pPr>
              <w:spacing w:before="60" w:after="60"/>
            </w:pPr>
            <w:r>
              <w:t xml:space="preserve"/>
            </w:r>
          </w:p>
          <w:p>
            <w:pPr>
              <w:pStyle w:val="ListParagraph"/>
              <w:numPr>
                <w:ilvl w:val="0"/>
                <w:numId w:val="2"/>
              </w:numPr>
              <w:spacing w:before="40" w:after="40"/>
            </w:pPr>
            <w:r>
              <w:rPr>
                <w:rFonts w:ascii="Arial" w:cs="Arial" w:eastAsia="Arial" w:hAnsi="Arial"/>
                <w:color w:val="1B1B1B"/>
                <w:sz w:val="20"/>
                <w:szCs w:val="20"/>
              </w:rPr>
              <w:t xml:space="preserve">Nail Wellness Membership</w:t>
            </w:r>
          </w:p>
          <w:p>
            <w:pPr>
              <w:pStyle w:val="ListParagraph"/>
              <w:numPr>
                <w:ilvl w:val="0"/>
                <w:numId w:val="2"/>
              </w:numPr>
              <w:spacing w:before="40" w:after="40"/>
            </w:pPr>
            <w:r>
              <w:rPr>
                <w:rFonts w:ascii="Arial" w:cs="Arial" w:eastAsia="Arial" w:hAnsi="Arial"/>
                <w:color w:val="1B1B1B"/>
                <w:sz w:val="20"/>
                <w:szCs w:val="20"/>
              </w:rPr>
              <w:t xml:space="preserve">At-Home Care Kits (branded)</w:t>
            </w:r>
          </w:p>
          <w:p>
            <w:pPr>
              <w:pStyle w:val="ListParagraph"/>
              <w:numPr>
                <w:ilvl w:val="0"/>
                <w:numId w:val="2"/>
              </w:numPr>
              <w:spacing w:before="40" w:after="40"/>
            </w:pPr>
            <w:r>
              <w:rPr>
                <w:rFonts w:ascii="Arial" w:cs="Arial" w:eastAsia="Arial" w:hAnsi="Arial"/>
                <w:color w:val="1B1B1B"/>
                <w:sz w:val="20"/>
                <w:szCs w:val="20"/>
              </w:rPr>
              <w:t xml:space="preserve">Elder Care Partnerships</w:t>
            </w:r>
          </w:p>
          <w:p>
            <w:pPr>
              <w:pStyle w:val="ListParagraph"/>
              <w:numPr>
                <w:ilvl w:val="0"/>
                <w:numId w:val="2"/>
              </w:numPr>
              <w:spacing w:before="40" w:after="40"/>
            </w:pPr>
            <w:r>
              <w:rPr>
                <w:rFonts w:ascii="Arial" w:cs="Arial" w:eastAsia="Arial" w:hAnsi="Arial"/>
                <w:color w:val="1B1B1B"/>
                <w:sz w:val="20"/>
                <w:szCs w:val="20"/>
              </w:rPr>
              <w:t xml:space="preserve">Referral Ecosystem (doctors, spas)</w:t>
            </w:r>
          </w:p>
          <w:p>
            <w:pPr>
              <w:pStyle w:val="ListParagraph"/>
              <w:numPr>
                <w:ilvl w:val="0"/>
                <w:numId w:val="2"/>
              </w:numPr>
              <w:spacing w:before="40" w:after="40"/>
            </w:pPr>
            <w:r>
              <w:rPr>
                <w:rFonts w:ascii="Arial" w:cs="Arial" w:eastAsia="Arial" w:hAnsi="Arial"/>
                <w:color w:val="1B1B1B"/>
                <w:sz w:val="20"/>
                <w:szCs w:val="20"/>
              </w:rPr>
              <w:t xml:space="preserve">Nail Health Education Content</w:t>
            </w:r>
          </w:p>
        </w:tc>
      </w:tr>
    </w:tbl>
    <w:p>
      <w:pPr>
        <w:spacing w:before="200" w:after="100"/>
      </w:pPr>
      <w:r>
        <w:t xml:space="preserve"/>
      </w:r>
    </w:p>
    <w:p>
      <w:pPr>
        <w:pStyle w:val="Heading1"/>
        <w:spacing w:before="400" w:after="120"/>
      </w:pPr>
      <w:r>
        <w:rPr>
          <w:rFonts w:ascii="Arial" w:cs="Arial" w:eastAsia="Arial" w:hAnsi="Arial"/>
          <w:b/>
          <w:bCs/>
          <w:color w:val="2D6A4F"/>
          <w:sz w:val="36"/>
          <w:szCs w:val="36"/>
        </w:rPr>
        <w:t xml:space="preserve">The Three Tiers of Non-Customers</w:t>
      </w:r>
    </w:p>
    <w:p>
      <w:pPr>
        <w:pBdr>
          <w:bottom w:val="single" w:color="CCCCCC" w:sz="6" w:space="1"/>
        </w:pBdr>
        <w:spacing w:before="0" w:after="0"/>
      </w:pPr>
      <w:r>
        <w:t xml:space="preserve"/>
      </w:r>
    </w:p>
    <w:p>
      <w:pPr>
        <w:spacing w:before="100" w:after="60"/>
      </w:pPr>
      <w:r>
        <w:t xml:space="preserve"/>
      </w:r>
    </w:p>
    <w:p>
      <w:pPr>
        <w:spacing w:before="80" w:after="80"/>
      </w:pPr>
      <w:r>
        <w:rPr>
          <w:rFonts w:ascii="Arial" w:cs="Arial" w:eastAsia="Arial" w:hAnsi="Arial"/>
          <w:color w:val="1B1B1B"/>
          <w:sz w:val="22"/>
          <w:szCs w:val="22"/>
        </w:rPr>
        <w:t xml:space="preserve">Blue Ocean Strategy identifies non-customers as the largest growth opportunity. Elektra’s non-customers are enormous and largely untapped.</w:t>
      </w:r>
    </w:p>
    <w:p>
      <w:pPr>
        <w:spacing w:before="120" w:after="80"/>
      </w:pPr>
      <w:r>
        <w:t xml:space="preserve"/>
      </w:r>
    </w:p>
    <w:p>
      <w:pPr>
        <w:spacing w:before="200" w:after="80"/>
      </w:pPr>
      <w:r>
        <w:rPr>
          <w:rFonts w:ascii="Arial" w:cs="Arial" w:eastAsia="Arial" w:hAnsi="Arial"/>
          <w:b/>
          <w:bCs/>
          <w:color w:val="2D6A4F"/>
          <w:sz w:val="22"/>
          <w:szCs w:val="22"/>
        </w:rPr>
        <w:t xml:space="preserve">Tier 1 — The Reluctant Visitors</w:t>
      </w:r>
    </w:p>
    <w:p>
      <w:pPr>
        <w:spacing w:before="80" w:after="80"/>
      </w:pPr>
      <w:r>
        <w:rPr>
          <w:rFonts w:ascii="Arial" w:cs="Arial" w:eastAsia="Arial" w:hAnsi="Arial"/>
          <w:color w:val="1B1B1B"/>
          <w:sz w:val="22"/>
          <w:szCs w:val="22"/>
        </w:rPr>
        <w:t xml:space="preserve">Clients who go to salons occasionally but find them stressful, rushed, or uncomfortable. They want nail care but dread the environment. Elektra’s calm, unhurried experience converts these people into loyal regulars.</w:t>
      </w:r>
    </w:p>
    <w:p>
      <w:pPr>
        <w:spacing w:before="100" w:after="60"/>
      </w:pPr>
      <w:r>
        <w:t xml:space="preserve"/>
      </w:r>
    </w:p>
    <w:p>
      <w:pPr>
        <w:spacing w:before="200" w:after="80"/>
      </w:pPr>
      <w:r>
        <w:rPr>
          <w:rFonts w:ascii="Arial" w:cs="Arial" w:eastAsia="Arial" w:hAnsi="Arial"/>
          <w:b/>
          <w:bCs/>
          <w:color w:val="2D6A4F"/>
          <w:sz w:val="22"/>
          <w:szCs w:val="22"/>
        </w:rPr>
        <w:t xml:space="preserve">Tier 2 — The Avoiders</w:t>
      </w:r>
    </w:p>
    <w:p>
      <w:pPr>
        <w:spacing w:before="80" w:after="80"/>
      </w:pPr>
      <w:r>
        <w:rPr>
          <w:rFonts w:ascii="Arial" w:cs="Arial" w:eastAsia="Arial" w:hAnsi="Arial"/>
          <w:color w:val="1B1B1B"/>
          <w:sz w:val="22"/>
          <w:szCs w:val="22"/>
        </w:rPr>
        <w:t xml:space="preserve">People who have stopped going to salons entirely — often elderly or mobility-limited adults, clients with health conditions (diabetes, circulation issues, fungal concerns), or men who never saw a salon as a place for them. These are high-value, underserved clients who respond deeply to Elektra’s approach.</w:t>
      </w:r>
    </w:p>
    <w:p>
      <w:pPr>
        <w:spacing w:before="100" w:after="60"/>
      </w:pPr>
      <w:r>
        <w:t xml:space="preserve"/>
      </w:r>
    </w:p>
    <w:p>
      <w:pPr>
        <w:spacing w:before="200" w:after="80"/>
      </w:pPr>
      <w:r>
        <w:rPr>
          <w:rFonts w:ascii="Arial" w:cs="Arial" w:eastAsia="Arial" w:hAnsi="Arial"/>
          <w:b/>
          <w:bCs/>
          <w:color w:val="2D6A4F"/>
          <w:sz w:val="22"/>
          <w:szCs w:val="22"/>
        </w:rPr>
        <w:t xml:space="preserve">Tier 3 — The Unexplored</w:t>
      </w:r>
    </w:p>
    <w:p>
      <w:pPr>
        <w:spacing w:before="80" w:after="80"/>
      </w:pPr>
      <w:r>
        <w:rPr>
          <w:rFonts w:ascii="Arial" w:cs="Arial" w:eastAsia="Arial" w:hAnsi="Arial"/>
          <w:color w:val="1B1B1B"/>
          <w:sz w:val="22"/>
          <w:szCs w:val="22"/>
        </w:rPr>
        <w:t xml:space="preserve">Healthcare-adjacent clients referred by dermatologists, podiatrists, physical therapists, and senior living facilities. This channel doesn’t exist in traditional nail salons. Elektra is positioned to create it.</w:t>
      </w:r>
    </w:p>
    <w:p>
      <w:pPr>
        <w:spacing w:before="200" w:after="100"/>
      </w:pPr>
      <w:r>
        <w:t xml:space="preserve"/>
      </w:r>
    </w:p>
    <w:p>
      <w:pPr>
        <w:pStyle w:val="Heading1"/>
        <w:spacing w:before="400" w:after="120"/>
      </w:pPr>
      <w:r>
        <w:rPr>
          <w:rFonts w:ascii="Arial" w:cs="Arial" w:eastAsia="Arial" w:hAnsi="Arial"/>
          <w:b/>
          <w:bCs/>
          <w:color w:val="2D6A4F"/>
          <w:sz w:val="36"/>
          <w:szCs w:val="36"/>
        </w:rPr>
        <w:t xml:space="preserve">New Market Opportunities</w:t>
      </w:r>
    </w:p>
    <w:p>
      <w:pPr>
        <w:pBdr>
          <w:bottom w:val="single" w:color="CCCCCC" w:sz="6" w:space="1"/>
        </w:pBdr>
        <w:spacing w:before="0" w:after="0"/>
      </w:pPr>
      <w:r>
        <w:t xml:space="preserve"/>
      </w:r>
    </w:p>
    <w:p>
      <w:pPr>
        <w:spacing w:before="100" w:after="60"/>
      </w:pPr>
      <w:r>
        <w:t xml:space="preserve"/>
      </w:r>
    </w:p>
    <w:p>
      <w:pPr>
        <w:spacing w:before="200" w:after="80"/>
      </w:pPr>
      <w:r>
        <w:rPr>
          <w:rFonts w:ascii="Arial" w:cs="Arial" w:eastAsia="Arial" w:hAnsi="Arial"/>
          <w:b/>
          <w:bCs/>
          <w:color w:val="2D6A4F"/>
          <w:sz w:val="22"/>
          <w:szCs w:val="22"/>
        </w:rPr>
        <w:t xml:space="preserve">1. The Nail Wellness Membership</w:t>
      </w:r>
    </w:p>
    <w:p>
      <w:pPr>
        <w:spacing w:before="80" w:after="80"/>
      </w:pPr>
      <w:r>
        <w:rPr>
          <w:rFonts w:ascii="Arial" w:cs="Arial" w:eastAsia="Arial" w:hAnsi="Arial"/>
          <w:color w:val="1B1B1B"/>
          <w:sz w:val="22"/>
          <w:szCs w:val="22"/>
        </w:rPr>
        <w:t xml:space="preserve">A recurring monthly or quarterly membership that includes standard services, priority scheduling, at-home product credits, and a personalized nail health profile tracked over time. This is not a punch card — it’s a care relationship. Pricing: $89–$149/month. Projected retention: 80%+.</w:t>
      </w:r>
    </w:p>
    <w:p>
      <w:pPr>
        <w:spacing w:before="120" w:after="60"/>
      </w:pPr>
      <w:r>
        <w:t xml:space="preserve"/>
      </w:r>
    </w:p>
    <w:p>
      <w:pPr>
        <w:spacing w:before="200" w:after="80"/>
      </w:pPr>
      <w:r>
        <w:rPr>
          <w:rFonts w:ascii="Arial" w:cs="Arial" w:eastAsia="Arial" w:hAnsi="Arial"/>
          <w:b/>
          <w:bCs/>
          <w:color w:val="2D6A4F"/>
          <w:sz w:val="22"/>
          <w:szCs w:val="22"/>
        </w:rPr>
        <w:t xml:space="preserve">2. Branded At-Home Wellness Products</w:t>
      </w:r>
    </w:p>
    <w:p>
      <w:pPr>
        <w:spacing w:before="80" w:after="80"/>
      </w:pPr>
      <w:r>
        <w:rPr>
          <w:rFonts w:ascii="Arial" w:cs="Arial" w:eastAsia="Arial" w:hAnsi="Arial"/>
          <w:color w:val="1B1B1B"/>
          <w:sz w:val="22"/>
          <w:szCs w:val="22"/>
        </w:rPr>
        <w:t xml:space="preserve">The retail expansion already planned (body butters, sugar scrubs) should be branded with full Elektra identity and positioned as professional-grade home care — not commodity products. Cuticle oils, nail-strengthening treatments, and soothing hand balms, sold in elegant, minimal packaging. These products extend the client relationship between visits and open a DTC revenue channel.</w:t>
      </w:r>
    </w:p>
    <w:p>
      <w:pPr>
        <w:spacing w:before="120" w:after="60"/>
      </w:pPr>
      <w:r>
        <w:t xml:space="preserve"/>
      </w:r>
    </w:p>
    <w:p>
      <w:pPr>
        <w:spacing w:before="200" w:after="80"/>
      </w:pPr>
      <w:r>
        <w:rPr>
          <w:rFonts w:ascii="Arial" w:cs="Arial" w:eastAsia="Arial" w:hAnsi="Arial"/>
          <w:b/>
          <w:bCs/>
          <w:color w:val="2D6A4F"/>
          <w:sz w:val="22"/>
          <w:szCs w:val="22"/>
        </w:rPr>
        <w:t xml:space="preserve">3. Elder Care &amp; Medical Partnerships</w:t>
      </w:r>
    </w:p>
    <w:p>
      <w:pPr>
        <w:spacing w:before="80" w:after="80"/>
      </w:pPr>
      <w:r>
        <w:rPr>
          <w:rFonts w:ascii="Arial" w:cs="Arial" w:eastAsia="Arial" w:hAnsi="Arial"/>
          <w:color w:val="1B1B1B"/>
          <w:sz w:val="22"/>
          <w:szCs w:val="22"/>
        </w:rPr>
        <w:t xml:space="preserve">Partner with senior living communities, assisted living facilities, podiatry offices, and physical therapy practices to offer on-site or referral-based nail wellness services. Elderly clients often cannot safely perform their own nail care and rarely have access to a trusted, health-aware provider. This is a first-mover opportunity in most markets.</w:t>
      </w:r>
    </w:p>
    <w:p>
      <w:pPr>
        <w:spacing w:before="120" w:after="60"/>
      </w:pPr>
      <w:r>
        <w:t xml:space="preserve"/>
      </w:r>
    </w:p>
    <w:p>
      <w:pPr>
        <w:spacing w:before="200" w:after="80"/>
      </w:pPr>
      <w:r>
        <w:rPr>
          <w:rFonts w:ascii="Arial" w:cs="Arial" w:eastAsia="Arial" w:hAnsi="Arial"/>
          <w:b/>
          <w:bCs/>
          <w:color w:val="2D6A4F"/>
          <w:sz w:val="22"/>
          <w:szCs w:val="22"/>
        </w:rPr>
        <w:t xml:space="preserve">4. Men’s Nail Wellness Program</w:t>
      </w:r>
    </w:p>
    <w:p>
      <w:pPr>
        <w:spacing w:before="80" w:after="80"/>
      </w:pPr>
      <w:r>
        <w:rPr>
          <w:rFonts w:ascii="Arial" w:cs="Arial" w:eastAsia="Arial" w:hAnsi="Arial"/>
          <w:color w:val="1B1B1B"/>
          <w:sz w:val="22"/>
          <w:szCs w:val="22"/>
        </w:rPr>
        <w:t xml:space="preserve">Men’s grooming is a $20B+ industry still barely touching nail care. Elektra’s clinical, health-first framing removes the stigma. A distinct “Men’s Maintenance” program — clean, buffed, groomed, not decorative — positions nail care as self-care without requiring any aesthetic buy-in.</w:t>
      </w:r>
    </w:p>
    <w:p>
      <w:pPr>
        <w:spacing w:before="120" w:after="60"/>
      </w:pPr>
      <w:r>
        <w:t xml:space="preserve"/>
      </w:r>
    </w:p>
    <w:p>
      <w:pPr>
        <w:spacing w:before="200" w:after="80"/>
      </w:pPr>
      <w:r>
        <w:rPr>
          <w:rFonts w:ascii="Arial" w:cs="Arial" w:eastAsia="Arial" w:hAnsi="Arial"/>
          <w:b/>
          <w:bCs/>
          <w:color w:val="2D6A4F"/>
          <w:sz w:val="22"/>
          <w:szCs w:val="22"/>
        </w:rPr>
        <w:t xml:space="preserve">5. Nail Health Education Content</w:t>
      </w:r>
    </w:p>
    <w:p>
      <w:pPr>
        <w:spacing w:before="80" w:after="80"/>
      </w:pPr>
      <w:r>
        <w:rPr>
          <w:rFonts w:ascii="Arial" w:cs="Arial" w:eastAsia="Arial" w:hAnsi="Arial"/>
          <w:color w:val="1B1B1B"/>
          <w:sz w:val="22"/>
          <w:szCs w:val="22"/>
        </w:rPr>
        <w:t xml:space="preserve">Short-form content on nail health, cuticle care, safe home maintenance, and recognizing issues (fungal infection, trauma, thinning) builds credibility and functions as organic referral. This positions Elektra’s owner as a wellness authority, not just a service provider — a powerful boutique brand moat.</w:t>
      </w:r>
    </w:p>
    <w:p>
      <w:pPr>
        <w:spacing w:before="200" w:after="100"/>
      </w:pPr>
      <w:r>
        <w:t xml:space="preserve"/>
      </w:r>
    </w:p>
    <w:p>
      <w:pPr>
        <w:pStyle w:val="Heading1"/>
        <w:spacing w:before="400" w:after="120"/>
      </w:pPr>
      <w:r>
        <w:rPr>
          <w:rFonts w:ascii="Arial" w:cs="Arial" w:eastAsia="Arial" w:hAnsi="Arial"/>
          <w:b/>
          <w:bCs/>
          <w:color w:val="2D6A4F"/>
          <w:sz w:val="36"/>
          <w:szCs w:val="36"/>
        </w:rPr>
        <w:t xml:space="preserve">Revenue Architecture</w:t>
      </w:r>
    </w:p>
    <w:p>
      <w:pPr>
        <w:pBdr>
          <w:bottom w:val="single" w:color="CCCCCC" w:sz="6" w:space="1"/>
        </w:pBdr>
        <w:spacing w:before="0" w:after="0"/>
      </w:pPr>
      <w:r>
        <w:t xml:space="preserve"/>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Revenue Stream</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Service Revenue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Core manicures, pedicures, Gel X, men’s grooming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Wellness Memberships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Monthly/quarterly recurring plans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Retail Products</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At-home nail + skin wellness 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Partner Referral Fees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Elder care, medical referral programs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Content / Education</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Optional: workshops, digital guides, affiliate</w:t>
            </w:r>
          </w:p>
        </w:tc>
      </w:tr>
    </w:tbl>
    <w:p>
      <w:pPr>
        <w:spacing w:before="160" w:after="80"/>
      </w:pPr>
      <w:r>
        <w:t xml:space="preserve"/>
      </w:r>
    </w:p>
    <w:p>
      <w:pPr>
        <w:spacing w:before="80" w:after="80"/>
      </w:pPr>
      <w:r>
        <w:rPr>
          <w:rFonts w:ascii="Arial" w:cs="Arial" w:eastAsia="Arial" w:hAnsi="Arial"/>
          <w:color w:val="1B1B1B"/>
          <w:sz w:val="22"/>
          <w:szCs w:val="22"/>
        </w:rPr>
        <w:t xml:space="preserve">A conservative shift toward memberships and retail can meaningfully reduce revenue volatility and allow Elektra to scale impact without scaling appointment volume. The boutique model stays intact — the business just becomes more resilient.</w:t>
      </w:r>
    </w:p>
    <w:p>
      <w:pPr>
        <w:spacing w:before="200" w:after="100"/>
      </w:pPr>
      <w:r>
        <w:t xml:space="preserve"/>
      </w:r>
    </w:p>
    <w:p>
      <w:pPr>
        <w:pStyle w:val="Heading1"/>
        <w:spacing w:before="400" w:after="120"/>
      </w:pPr>
      <w:r>
        <w:rPr>
          <w:rFonts w:ascii="Arial" w:cs="Arial" w:eastAsia="Arial" w:hAnsi="Arial"/>
          <w:b/>
          <w:bCs/>
          <w:color w:val="2D6A4F"/>
          <w:sz w:val="36"/>
          <w:szCs w:val="36"/>
        </w:rPr>
        <w:t xml:space="preserve">Brand Positioning Statement</w:t>
      </w:r>
    </w:p>
    <w:p>
      <w:pPr>
        <w:pBdr>
          <w:bottom w:val="single" w:color="CCCCCC" w:sz="6" w:space="1"/>
        </w:pBdr>
        <w:spacing w:before="0" w:after="0"/>
      </w:pPr>
      <w:r>
        <w:t xml:space="preserve"/>
      </w:r>
    </w:p>
    <w:p>
      <w:pPr>
        <w:spacing w:before="100" w:after="60"/>
      </w:pPr>
      <w:r>
        <w:t xml:space="preserve"/>
      </w:r>
    </w:p>
    <w:p>
      <w:pPr>
        <w:spacing w:before="120" w:after="120"/>
        <w:jc w:val="center"/>
      </w:pPr>
      <w:r>
        <w:rPr>
          <w:rFonts w:ascii="Arial" w:cs="Arial" w:eastAsia="Arial" w:hAnsi="Arial"/>
          <w:b/>
          <w:bCs/>
          <w:i/>
          <w:iCs/>
          <w:color w:val="2D6A4F"/>
          <w:sz w:val="26"/>
          <w:szCs w:val="26"/>
        </w:rPr>
        <w:t xml:space="preserve">“For people who care about their health as much as their hands, Elektra Nail Care is the only nail wellness practice built around patience, precision, and lasting results — not speed.”</w:t>
      </w:r>
    </w:p>
    <w:p>
      <w:pPr>
        <w:spacing w:before="160" w:after="80"/>
      </w:pPr>
      <w:r>
        <w:t xml:space="preserve"/>
      </w:r>
    </w:p>
    <w:p>
      <w:pPr>
        <w:spacing w:before="80" w:after="80"/>
      </w:pPr>
      <w:r>
        <w:rPr>
          <w:rFonts w:ascii="Arial" w:cs="Arial" w:eastAsia="Arial" w:hAnsi="Arial"/>
          <w:color w:val="1B1B1B"/>
          <w:sz w:val="22"/>
          <w:szCs w:val="22"/>
        </w:rPr>
        <w:t xml:space="preserve">This positioning does not compete with nail salons. It renders them irrelevant for Elektra’s clients.</w:t>
      </w:r>
    </w:p>
    <w:p>
      <w:pPr>
        <w:spacing w:before="200" w:after="100"/>
      </w:pPr>
      <w:r>
        <w:t xml:space="preserve"/>
      </w:r>
    </w:p>
    <w:p>
      <w:pPr>
        <w:pStyle w:val="Heading1"/>
        <w:spacing w:before="400" w:after="120"/>
      </w:pPr>
      <w:r>
        <w:rPr>
          <w:rFonts w:ascii="Arial" w:cs="Arial" w:eastAsia="Arial" w:hAnsi="Arial"/>
          <w:b/>
          <w:bCs/>
          <w:color w:val="2D6A4F"/>
          <w:sz w:val="36"/>
          <w:szCs w:val="36"/>
        </w:rPr>
        <w:t xml:space="preserve">12-Month Execution Roadmap</w:t>
      </w:r>
    </w:p>
    <w:p>
      <w:pPr>
        <w:pBdr>
          <w:bottom w:val="single" w:color="CCCCCC" w:sz="6" w:space="1"/>
        </w:pBdr>
        <w:spacing w:before="0" w:after="0"/>
      </w:pPr>
      <w:r>
        <w:t xml:space="preserve"/>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Timeline</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Initiative</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Q1</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Launch Nail Wellness Membership; formalize intake forms with nail health tracking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Q1–Q2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Develop &amp; launch 3–5 SKU at-home product line under Elektra brand</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Q2</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Establish first elder care or medical referral partnership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Q2–Q3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Launch Men’s Maintenance Program with distinct booking &amp; positioning</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Q3</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1B1B1B"/>
                <w:sz w:val="22"/>
                <w:szCs w:val="22"/>
              </w:rPr>
              <w:t xml:space="preserve">Begin educational content presence (Instagram, YouTube, or email newsletter)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Q4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1B1B"/>
                <w:sz w:val="22"/>
                <w:szCs w:val="22"/>
              </w:rPr>
              <w:t xml:space="preserve">Review membership retention, product sales, referral volume; refine pricing</w:t>
            </w:r>
          </w:p>
        </w:tc>
      </w:tr>
    </w:tbl>
    <w:p>
      <w:pPr>
        <w:spacing w:before="200" w:after="100"/>
      </w:pPr>
      <w:r>
        <w:t xml:space="preserve"/>
      </w:r>
    </w:p>
    <w:p>
      <w:pPr>
        <w:pStyle w:val="Heading1"/>
        <w:spacing w:before="400" w:after="120"/>
      </w:pPr>
      <w:r>
        <w:rPr>
          <w:rFonts w:ascii="Arial" w:cs="Arial" w:eastAsia="Arial" w:hAnsi="Arial"/>
          <w:b/>
          <w:bCs/>
          <w:color w:val="2D6A4F"/>
          <w:sz w:val="36"/>
          <w:szCs w:val="36"/>
        </w:rPr>
        <w:t xml:space="preserve">The Bottom Line</w:t>
      </w:r>
    </w:p>
    <w:p>
      <w:pPr>
        <w:pBdr>
          <w:bottom w:val="single" w:color="CCCCCC" w:sz="6" w:space="1"/>
        </w:pBdr>
        <w:spacing w:before="0" w:after="0"/>
      </w:pPr>
      <w:r>
        <w:t xml:space="preserve"/>
      </w:r>
    </w:p>
    <w:p>
      <w:pPr>
        <w:spacing w:before="100" w:after="60"/>
      </w:pPr>
      <w:r>
        <w:t xml:space="preserve"/>
      </w:r>
    </w:p>
    <w:p>
      <w:pPr>
        <w:spacing w:before="80" w:after="80"/>
      </w:pPr>
      <w:r>
        <w:rPr>
          <w:rFonts w:ascii="Arial" w:cs="Arial" w:eastAsia="Arial" w:hAnsi="Arial"/>
          <w:color w:val="1B1B1B"/>
          <w:sz w:val="22"/>
          <w:szCs w:val="22"/>
        </w:rPr>
        <w:t xml:space="preserve">Elektra Nail Care has spent over a decade building trust in a market that does not reward trust. That is the asset. The Blue Ocean move is to formalize that asset into a defensible brand position, create recurring revenue that doesn’t depend on new clients every week, and expand into underserved communities that will be fiercely loyal precisely because no one else has shown up for them.</w:t>
      </w:r>
    </w:p>
    <w:p>
      <w:pPr>
        <w:spacing w:before="100" w:after="80"/>
      </w:pPr>
      <w:r>
        <w:t xml:space="preserve"/>
      </w:r>
    </w:p>
    <w:p>
      <w:pPr>
        <w:spacing w:before="80" w:after="80"/>
      </w:pPr>
      <w:r>
        <w:rPr>
          <w:rFonts w:ascii="Arial" w:cs="Arial" w:eastAsia="Arial" w:hAnsi="Arial"/>
          <w:color w:val="1B1B1B"/>
          <w:sz w:val="22"/>
          <w:szCs w:val="22"/>
        </w:rPr>
        <w:t xml:space="preserve">The boutique energy stays. The business just gets sharper.</w:t>
      </w:r>
    </w:p>
    <w:p>
      <w:pPr>
        <w:spacing w:before="200" w:after="80"/>
      </w:pPr>
      <w:r>
        <w:t xml:space="preserve"/>
      </w:r>
    </w:p>
    <w:p>
      <w:pPr>
        <w:pBdr>
          <w:bottom w:val="single" w:color="2D6A4F" w:sz="8" w:space="1"/>
        </w:pBdr>
        <w:spacing w:before="0" w:after="0"/>
      </w:pPr>
      <w:r>
        <w:t xml:space="preserve"/>
      </w:r>
    </w:p>
    <w:p>
      <w:pPr>
        <w:spacing w:before="80" w:after="80"/>
      </w:pPr>
      <w:r>
        <w:t xml:space="preserve"/>
      </w:r>
    </w:p>
    <w:p>
      <w:pPr>
        <w:spacing w:before="80" w:after="80"/>
        <w:jc w:val="center"/>
      </w:pPr>
      <w:r>
        <w:rPr>
          <w:rFonts w:ascii="Arial" w:cs="Arial" w:eastAsia="Arial" w:hAnsi="Arial"/>
          <w:i/>
          <w:iCs/>
          <w:color w:val="888888"/>
          <w:sz w:val="18"/>
          <w:szCs w:val="18"/>
        </w:rPr>
        <w:t xml:space="preserve">Prepared by Vision Farm • Ecosystem Architecture &amp;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2D6A4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2026-02-23T23:28:33.816Z</dcterms:created>
  <dcterms:modified xsi:type="dcterms:W3CDTF">2026-02-23T23:28:33.817Z</dcterms:modified>
</cp:coreProperties>
</file>

<file path=docProps/custom.xml><?xml version="1.0" encoding="utf-8"?>
<Properties xmlns="http://schemas.openxmlformats.org/officeDocument/2006/custom-properties" xmlns:vt="http://schemas.openxmlformats.org/officeDocument/2006/docPropsVTypes"/>
</file>