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2E5B8A"/>
          <w:sz w:val="30"/>
          <w:szCs w:val="30"/>
        </w:rPr>
        <w:t xml:space="preserve">BÁO CÁO PHÂN TÍCH</w:t>
      </w:r>
    </w:p>
    <w:p>
      <w:pPr>
        <w:spacing w:after="0" w:before="80"/>
        <w:jc w:val="center"/>
      </w:pPr>
      <w:r>
        <w:rPr>
          <w:b/>
          <w:bCs/>
          <w:color w:val="1F3864"/>
          <w:sz w:val="44"/>
          <w:szCs w:val="44"/>
        </w:rPr>
        <w:t xml:space="preserve">QUAN HỆ BỘ PHẬN – CHỈNH THỂ</w:t>
      </w:r>
    </w:p>
    <w:p>
      <w:pPr>
        <w:spacing w:after="40" w:before="40"/>
        <w:jc w:val="center"/>
      </w:pPr>
      <w:r>
        <w:rPr>
          <w:b/>
          <w:bCs/>
          <w:color w:val="1F3864"/>
          <w:sz w:val="36"/>
          <w:szCs w:val="36"/>
        </w:rPr>
        <w:t xml:space="preserve">(MERONYM – HOLONYM) TRONG WORDNET</w:t>
      </w:r>
    </w:p>
    <w:p>
      <w:pPr>
        <w:pBdr>
          <w:bottom w:val="single" w:color="2E5B8A" w:sz="8" w:space="8"/>
        </w:pBdr>
        <w:spacing w:after="500" w:before="400"/>
        <w:jc w:val="center"/>
      </w:pPr>
      <w:r>
        <w:rPr>
          <w:sz w:val="4"/>
          <w:szCs w:val="4"/>
        </w:rPr>
        <w:t xml:space="preserve"> </w:t>
      </w:r>
    </w:p>
    <w:p>
      <w:pPr>
        <w:spacing w:after="120" w:before="0"/>
        <w:jc w:val="center"/>
      </w:pPr>
      <w:r>
        <w:rPr>
          <w:b/>
          <w:bCs/>
          <w:sz w:val="22"/>
          <w:szCs w:val="22"/>
        </w:rPr>
        <w:t xml:space="preserve">Nguồn dữ liệu: </w:t>
      </w:r>
      <w:r>
        <w:rPr>
          <w:sz w:val="22"/>
          <w:szCs w:val="22"/>
        </w:rPr>
        <w:t xml:space="preserve">Open English WordNet 2025 (oewn:2025)</w:t>
      </w:r>
    </w:p>
    <w:p>
      <w:pPr>
        <w:spacing w:after="120" w:before="0"/>
        <w:jc w:val="center"/>
      </w:pPr>
      <w:r>
        <w:rPr>
          <w:b/>
          <w:bCs/>
          <w:sz w:val="22"/>
          <w:szCs w:val="22"/>
        </w:rPr>
        <w:t xml:space="preserve">Công cụ: </w:t>
      </w:r>
      <w:r>
        <w:rPr>
          <w:sz w:val="22"/>
          <w:szCs w:val="22"/>
        </w:rPr>
        <w:t xml:space="preserve">thư viện Python wn 1.1.0</w:t>
      </w:r>
    </w:p>
    <w:p>
      <w:pPr>
        <w:spacing w:after="120" w:before="0"/>
        <w:jc w:val="center"/>
      </w:pPr>
      <w:r>
        <w:rPr>
          <w:b/>
          <w:bCs/>
          <w:sz w:val="22"/>
          <w:szCs w:val="22"/>
        </w:rPr>
        <w:t xml:space="preserve">Phạm vi: </w:t>
      </w:r>
      <w:r>
        <w:rPr>
          <w:sz w:val="22"/>
          <w:szCs w:val="22"/>
        </w:rPr>
        <w:t xml:space="preserve">toàn bộ 107.519 synset của WordNet</w:t>
      </w:r>
    </w:p>
    <w:p>
      <w:pPr>
        <w:spacing w:after="800" w:before="0"/>
        <w:jc w:val="center"/>
      </w:pPr>
      <w:r>
        <w:rPr>
          <w:b/>
          <w:bCs/>
          <w:sz w:val="22"/>
          <w:szCs w:val="22"/>
        </w:rPr>
        <w:t xml:space="preserve">Sản phẩm kèm theo: </w:t>
      </w:r>
      <w:r>
        <w:rPr>
          <w:sz w:val="22"/>
          <w:szCs w:val="22"/>
        </w:rPr>
        <w:t xml:space="preserve">oewn2024_meronym_holonym.txt (cây quan hệ dạng văn bản), thư mục stats_output/ (biểu đồ + CSV)</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Tóm tắt kết quả chính (Executive Summary)</w:t>
      </w:r>
    </w:p>
    <w:p>
      <w:pPr>
        <w:pStyle w:val="ListParagraph"/>
        <w:numPr>
          <w:ilvl w:val="0"/>
          <w:numId w:val="2"/>
        </w:numPr>
        <w:spacing w:after="120" w:line="300"/>
      </w:pPr>
      <w:r>
        <w:t xml:space="preserve">WordNet 2025 có </w:t>
      </w:r>
      <w:r>
        <w:rPr>
          <w:b/>
          <w:bCs/>
        </w:rPr>
        <w:t xml:space="preserve">107.519 synset</w:t>
      </w:r>
      <w:r>
        <w:t xml:space="preserve">. Trong đó chỉ </w:t>
      </w:r>
      <w:r>
        <w:rPr>
          <w:b/>
          <w:bCs/>
        </w:rPr>
        <w:t xml:space="preserve">4.099 synset (3,81%)</w:t>
      </w:r>
      <w:r>
        <w:t xml:space="preserve"> đóng vai trò </w:t>
      </w:r>
      <w:r>
        <w:rPr>
          <w:i/>
          <w:iCs/>
        </w:rPr>
        <w:t xml:space="preserve">chỉnh thể</w:t>
      </w:r>
      <w:r>
        <w:t xml:space="preserve"> (có ít nhất một bộ phận – meronym) và </w:t>
      </w:r>
      <w:r>
        <w:rPr>
          <w:b/>
          <w:bCs/>
        </w:rPr>
        <w:t xml:space="preserve">5.954 synset (5,54%)</w:t>
      </w:r>
      <w:r>
        <w:t xml:space="preserve"> đóng vai trò </w:t>
      </w:r>
      <w:r>
        <w:rPr>
          <w:i/>
          <w:iCs/>
        </w:rPr>
        <w:t xml:space="preserve">bộ phận</w:t>
      </w:r>
      <w:r>
        <w:t xml:space="preserve"> (thuộc về một chỉnh thể nào đó – holonym). ⇒ Quan hệ bộ phận/chỉnh thể là </w:t>
      </w:r>
      <w:r>
        <w:rPr>
          <w:b/>
          <w:bCs/>
        </w:rPr>
        <w:t xml:space="preserve">quan hệ thưa</w:t>
      </w:r>
      <w:r>
        <w:t xml:space="preserve"> trong WordNet.</w:t>
      </w:r>
    </w:p>
    <w:p>
      <w:pPr>
        <w:pStyle w:val="ListParagraph"/>
        <w:numPr>
          <w:ilvl w:val="0"/>
          <w:numId w:val="2"/>
        </w:numPr>
        <w:spacing w:after="120" w:line="300"/>
      </w:pPr>
      <w:r>
        <w:rPr>
          <w:b/>
          <w:bCs/>
        </w:rPr>
        <w:t xml:space="preserve">100% synset tham gia quan hệ đều là danh từ</w:t>
      </w:r>
      <w:r>
        <w:t xml:space="preserve"> (</w:t>
      </w:r>
      <w:r>
        <w:rPr>
          <w:rFonts w:ascii="Consolas" w:cs="Consolas" w:eastAsia="Consolas" w:hAnsi="Consolas"/>
        </w:rPr>
        <w:t xml:space="preserve">n</w:t>
      </w:r>
      <w:r>
        <w:t xml:space="preserve">) — đúng với đặc trưng ngôn ngữ học: meronymy chỉ áp dụng cho danh từ.</w:t>
      </w:r>
    </w:p>
    <w:p>
      <w:pPr>
        <w:pStyle w:val="ListParagraph"/>
        <w:numPr>
          <w:ilvl w:val="0"/>
          <w:numId w:val="2"/>
        </w:numPr>
        <w:spacing w:after="120" w:line="300"/>
      </w:pPr>
      <w:r>
        <w:t xml:space="preserve">Tổng số cạnh meronym và holonym </w:t>
      </w:r>
      <w:r>
        <w:rPr>
          <w:b/>
          <w:bCs/>
        </w:rPr>
        <w:t xml:space="preserve">khớp tuyệt đối: 6.935 = 6.935</w:t>
      </w:r>
      <w:r>
        <w:t xml:space="preserve"> — kiểm chứng tính toàn vẹn (hai quan hệ là nghịch đảo của nhau).</w:t>
      </w:r>
    </w:p>
    <w:p>
      <w:pPr>
        <w:pStyle w:val="ListParagraph"/>
        <w:numPr>
          <w:ilvl w:val="0"/>
          <w:numId w:val="2"/>
        </w:numPr>
        <w:spacing w:after="120" w:line="300"/>
      </w:pPr>
      <w:r>
        <w:t xml:space="preserve">Loại quan hệ </w:t>
      </w:r>
      <w:r>
        <w:rPr>
          <w:b/>
          <w:bCs/>
        </w:rPr>
        <w:t xml:space="preserve">`part` (bộ phận cấu thành) chiếm ưu thế tuyệt đối: 77,7%</w:t>
      </w:r>
      <w:r>
        <w:t xml:space="preserve"> tổng số cạnh. Hai loại </w:t>
      </w:r>
      <w:r>
        <w:rPr>
          <w:rFonts w:ascii="Consolas" w:cs="Consolas" w:eastAsia="Consolas" w:hAnsi="Consolas"/>
        </w:rPr>
        <w:t xml:space="preserve">location</w:t>
      </w:r>
      <w:r>
        <w:t xml:space="preserve"> và </w:t>
      </w:r>
      <w:r>
        <w:rPr>
          <w:rFonts w:ascii="Consolas" w:cs="Consolas" w:eastAsia="Consolas" w:hAnsi="Consolas"/>
        </w:rPr>
        <w:t xml:space="preserve">portion</w:t>
      </w:r>
      <w:r>
        <w:t xml:space="preserve"> </w:t>
      </w:r>
      <w:r>
        <w:rPr>
          <w:b/>
          <w:bCs/>
        </w:rPr>
        <w:t xml:space="preserve">hoàn toàn không được dùng (0 cạnh)</w:t>
      </w:r>
      <w:r>
        <w:t xml:space="preserve"> trong phiên bản 2025 — một khoảng trống dữ liệu đáng lưu ý.</w:t>
      </w:r>
    </w:p>
    <w:p>
      <w:pPr>
        <w:pStyle w:val="ListParagraph"/>
        <w:numPr>
          <w:ilvl w:val="0"/>
          <w:numId w:val="2"/>
        </w:numPr>
        <w:spacing w:after="120" w:line="300"/>
      </w:pPr>
      <w:r>
        <w:t xml:space="preserve">Synset có nhiều bộ phận nhất: </w:t>
      </w:r>
      <w:r>
        <w:rPr>
          <w:b/>
          <w:bCs/>
        </w:rPr>
        <w:t xml:space="preserve">`ship` (tàu thủy) – 31 bộ phận</w:t>
      </w:r>
      <w:r>
        <w:t xml:space="preserve">. Synset thuộc về nhiều chỉnh thể nhất: </w:t>
      </w:r>
      <w:r>
        <w:rPr>
          <w:b/>
          <w:bCs/>
        </w:rPr>
        <w:t xml:space="preserve">`handle, grip` (tay cầm) – 28 chỉnh thể</w:t>
      </w:r>
      <w:r>
        <w:t xml:space="preserve">.</w:t>
      </w:r>
    </w:p>
    <w:p>
      <w:pPr>
        <w:pStyle w:val="ListParagraph"/>
        <w:numPr>
          <w:ilvl w:val="0"/>
          <w:numId w:val="2"/>
        </w:numPr>
        <w:spacing w:after="120" w:line="300"/>
      </w:pPr>
      <w:r>
        <w:t xml:space="preserve">Cây meronym sâu nhất đạt </w:t>
      </w:r>
      <w:r>
        <w:rPr>
          <w:b/>
          <w:bCs/>
        </w:rPr>
        <w:t xml:space="preserve">14 cấp</w:t>
      </w:r>
      <w:r>
        <w:t xml:space="preserve">; cây lớn nhất là </w:t>
      </w:r>
      <w:r>
        <w:rPr>
          <w:b/>
          <w:bCs/>
        </w:rPr>
        <w:t xml:space="preserve">`body` (cơ thể)</w:t>
      </w:r>
      <w:r>
        <w:t xml:space="preserve"> mở rộng thành </w:t>
      </w:r>
      <w:r>
        <w:rPr>
          <w:b/>
          <w:bCs/>
        </w:rPr>
        <w:t xml:space="preserve">645 dòng</w:t>
      </w:r>
      <w:r>
        <w:t xml:space="preserve">.</w:t>
      </w:r>
    </w:p>
    <w:p>
      <w:pPr>
        <w:pStyle w:val="Heading1"/>
      </w:pPr>
      <w:r>
        <w:t xml:space="preserve">2. Phương pháp</w:t>
      </w:r>
    </w:p>
    <w:p>
      <w:pPr>
        <w:pStyle w:val="ListParagraph"/>
        <w:numPr>
          <w:ilvl w:val="0"/>
          <w:numId w:val="2"/>
        </w:numPr>
        <w:spacing w:after="120" w:line="300"/>
      </w:pPr>
      <w:r>
        <w:rPr>
          <w:b/>
          <w:bCs/>
        </w:rPr>
        <w:t xml:space="preserve">Quan hệ meronym</w:t>
      </w:r>
      <w:r>
        <w:t xml:space="preserve"> được gộp từ 5 phân loại: </w:t>
      </w:r>
      <w:r>
        <w:rPr>
          <w:rFonts w:ascii="Consolas" w:cs="Consolas" w:eastAsia="Consolas" w:hAnsi="Consolas"/>
        </w:rPr>
        <w:t xml:space="preserve">mero_part</w:t>
      </w:r>
      <w:r>
        <w:t xml:space="preserve">, </w:t>
      </w:r>
      <w:r>
        <w:rPr>
          <w:rFonts w:ascii="Consolas" w:cs="Consolas" w:eastAsia="Consolas" w:hAnsi="Consolas"/>
        </w:rPr>
        <w:t xml:space="preserve">mero_member</w:t>
      </w:r>
      <w:r>
        <w:t xml:space="preserve">, </w:t>
      </w:r>
      <w:r>
        <w:rPr>
          <w:rFonts w:ascii="Consolas" w:cs="Consolas" w:eastAsia="Consolas" w:hAnsi="Consolas"/>
        </w:rPr>
        <w:t xml:space="preserve">mero_substance</w:t>
      </w:r>
      <w:r>
        <w:t xml:space="preserve">, </w:t>
      </w:r>
      <w:r>
        <w:rPr>
          <w:rFonts w:ascii="Consolas" w:cs="Consolas" w:eastAsia="Consolas" w:hAnsi="Consolas"/>
        </w:rPr>
        <w:t xml:space="preserve">mero_location</w:t>
      </w:r>
      <w:r>
        <w:t xml:space="preserve">, </w:t>
      </w:r>
      <w:r>
        <w:rPr>
          <w:rFonts w:ascii="Consolas" w:cs="Consolas" w:eastAsia="Consolas" w:hAnsi="Consolas"/>
        </w:rPr>
        <w:t xml:space="preserve">mero_portion</w:t>
      </w:r>
      <w:r>
        <w:t xml:space="preserve">.</w:t>
      </w:r>
    </w:p>
    <w:p>
      <w:pPr>
        <w:pStyle w:val="ListParagraph"/>
        <w:numPr>
          <w:ilvl w:val="0"/>
          <w:numId w:val="2"/>
        </w:numPr>
        <w:spacing w:after="120" w:line="300"/>
      </w:pPr>
      <w:r>
        <w:rPr>
          <w:b/>
          <w:bCs/>
        </w:rPr>
        <w:t xml:space="preserve">Quan hệ holonym</w:t>
      </w:r>
      <w:r>
        <w:t xml:space="preserve"> được gộp từ 5 phân loại tương ứng: </w:t>
      </w:r>
      <w:r>
        <w:rPr>
          <w:rFonts w:ascii="Consolas" w:cs="Consolas" w:eastAsia="Consolas" w:hAnsi="Consolas"/>
        </w:rPr>
        <w:t xml:space="preserve">holo_part</w:t>
      </w:r>
      <w:r>
        <w:t xml:space="preserve">, </w:t>
      </w:r>
      <w:r>
        <w:rPr>
          <w:rFonts w:ascii="Consolas" w:cs="Consolas" w:eastAsia="Consolas" w:hAnsi="Consolas"/>
        </w:rPr>
        <w:t xml:space="preserve">holo_member</w:t>
      </w:r>
      <w:r>
        <w:t xml:space="preserve">, </w:t>
      </w:r>
      <w:r>
        <w:rPr>
          <w:rFonts w:ascii="Consolas" w:cs="Consolas" w:eastAsia="Consolas" w:hAnsi="Consolas"/>
        </w:rPr>
        <w:t xml:space="preserve">holo_substance</w:t>
      </w:r>
      <w:r>
        <w:t xml:space="preserve">, </w:t>
      </w:r>
      <w:r>
        <w:rPr>
          <w:rFonts w:ascii="Consolas" w:cs="Consolas" w:eastAsia="Consolas" w:hAnsi="Consolas"/>
        </w:rPr>
        <w:t xml:space="preserve">holo_location</w:t>
      </w:r>
      <w:r>
        <w:t xml:space="preserve">, </w:t>
      </w:r>
      <w:r>
        <w:rPr>
          <w:rFonts w:ascii="Consolas" w:cs="Consolas" w:eastAsia="Consolas" w:hAnsi="Consolas"/>
        </w:rPr>
        <w:t xml:space="preserve">holo_portion</w:t>
      </w:r>
      <w:r>
        <w:t xml:space="preserve">.</w:t>
      </w:r>
    </w:p>
    <w:p>
      <w:pPr>
        <w:pStyle w:val="ListParagraph"/>
        <w:numPr>
          <w:ilvl w:val="0"/>
          <w:numId w:val="2"/>
        </w:numPr>
        <w:spacing w:after="120" w:line="300"/>
      </w:pPr>
      <w:r>
        <w:t xml:space="preserve">Duyệt </w:t>
      </w:r>
      <w:r>
        <w:rPr>
          <w:b/>
          <w:bCs/>
        </w:rPr>
        <w:t xml:space="preserve">toàn bộ synset</w:t>
      </w:r>
      <w:r>
        <w:t xml:space="preserve">; với mỗi synset có quan hệ, mở rộng </w:t>
      </w:r>
      <w:r>
        <w:rPr>
          <w:b/>
          <w:bCs/>
        </w:rPr>
        <w:t xml:space="preserve">đệ quy</w:t>
      </w:r>
      <w:r>
        <w:t xml:space="preserve"> các synset liên quan trực tiếp, mỗi cấp sâu hơn thụt vào thêm </w:t>
      </w:r>
      <w:r>
        <w:rPr>
          <w:b/>
          <w:bCs/>
        </w:rPr>
        <w:t xml:space="preserve">1 tab</w:t>
      </w:r>
      <w:r>
        <w:t xml:space="preserve">. Định dạng mỗi dòng: </w:t>
      </w:r>
      <w:r>
        <w:rPr>
          <w:rFonts w:ascii="Consolas" w:cs="Consolas" w:eastAsia="Consolas" w:hAnsi="Consolas"/>
        </w:rPr>
        <w:t xml:space="preserve">(cấp) {từ đồng nghĩa} [mã synset]: định nghĩa</w:t>
      </w:r>
      <w:r>
        <w:t xml:space="preserve">.</w:t>
      </w:r>
    </w:p>
    <w:p>
      <w:pPr>
        <w:pStyle w:val="ListParagraph"/>
        <w:numPr>
          <w:ilvl w:val="0"/>
          <w:numId w:val="2"/>
        </w:numPr>
        <w:spacing w:after="120" w:line="300"/>
      </w:pPr>
      <w:r>
        <w:t xml:space="preserve">Có </w:t>
      </w:r>
      <w:r>
        <w:rPr>
          <w:b/>
          <w:bCs/>
        </w:rPr>
        <w:t xml:space="preserve">cơ chế chặn chu trình</w:t>
      </w:r>
      <w:r>
        <w:t xml:space="preserve"> trên nhánh đang duyệt (một synset đã nằm trên đường đi hiện tại sẽ không mở rộng lại) để tránh lặp vô hạn giữa quan hệ nghịch đảo part↔whole.</w:t>
      </w:r>
    </w:p>
    <w:p>
      <w:pPr>
        <w:pStyle w:val="ListParagraph"/>
        <w:numPr>
          <w:ilvl w:val="0"/>
          <w:numId w:val="2"/>
        </w:numPr>
        <w:spacing w:after="120" w:line="300"/>
      </w:pPr>
      <w:r>
        <w:t xml:space="preserve">Toàn bộ số liệu trong báo cáo được tính </w:t>
      </w:r>
      <w:r>
        <w:rPr>
          <w:b/>
          <w:bCs/>
        </w:rPr>
        <w:t xml:space="preserve">trực tiếp từ lexicon</w:t>
      </w:r>
      <w:r>
        <w:t xml:space="preserve"> (chính xác tuyệt đối, không bị ảnh hưởng bởi phần lặp lại trong file văn bản đã làm phẳng).</w:t>
      </w:r>
    </w:p>
    <w:p>
      <w:pPr>
        <w:pStyle w:val="Heading1"/>
      </w:pPr>
      <w:r>
        <w:t xml:space="preserve">3. Độ bao phủ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Chỉ số</w:t>
            </w:r>
          </w:p>
        </w:tc>
        <w:tc>
          <w:tcPr>
            <w:tcW w:type="dxa" w:w="20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Giá trị</w:t>
            </w:r>
          </w:p>
        </w:tc>
        <w:tc>
          <w:tcPr>
            <w:tcW w:type="dxa" w:w="20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 trên tổng synset</w:t>
            </w:r>
          </w:p>
        </w:tc>
      </w:tr>
      <w:tr>
        <w:tc>
          <w:tcPr>
            <w:tcW w:type="dxa" w:w="53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Tổng số synset</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107.519</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100,00%</w:t>
            </w:r>
          </w:p>
        </w:tc>
      </w:tr>
      <w:tr>
        <w:tc>
          <w:tcPr>
            <w:tcW w:type="dxa" w:w="53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Chỉnh thể – có ≥1 meronym</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4.099</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3,81%</w:t>
            </w:r>
          </w:p>
        </w:tc>
      </w:tr>
      <w:tr>
        <w:tc>
          <w:tcPr>
            <w:tcW w:type="dxa" w:w="53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Bộ phận – có ≥1 holonym</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5.954</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5,54%</w:t>
            </w:r>
          </w:p>
        </w:tc>
      </w:tr>
      <w:tr>
        <w:tc>
          <w:tcPr>
            <w:tcW w:type="dxa" w:w="53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Số cạnh meronym</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6.935</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w:t>
            </w:r>
          </w:p>
        </w:tc>
      </w:tr>
      <w:tr>
        <w:tc>
          <w:tcPr>
            <w:tcW w:type="dxa" w:w="53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Số cạnh holonym</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6.935</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w:t>
            </w:r>
          </w:p>
        </w:tc>
      </w:tr>
    </w:tbl>
    <w:p>
      <w:pPr>
        <w:spacing w:after="160" w:line="300"/>
      </w:pPr>
    </w:p>
    <w:p>
      <w:pPr>
        <w:spacing w:after="160" w:line="300"/>
      </w:pPr>
      <w:r>
        <w:rPr>
          <w:b/>
          <w:bCs/>
        </w:rPr>
        <w:t xml:space="preserve">Nhận xét:</w:t>
      </w:r>
      <w:r>
        <w:t xml:space="preserve"> Số synset là </w:t>
      </w:r>
      <w:r>
        <w:rPr>
          <w:i/>
          <w:iCs/>
        </w:rPr>
        <w:t xml:space="preserve">bộ phận</w:t>
      </w:r>
      <w:r>
        <w:t xml:space="preserve"> (5.954) nhiều hơn số synset là </w:t>
      </w:r>
      <w:r>
        <w:rPr>
          <w:i/>
          <w:iCs/>
        </w:rPr>
        <w:t xml:space="preserve">chỉnh thể</w:t>
      </w:r>
      <w:r>
        <w:t xml:space="preserve"> (4.099) — hợp lý, vì một chỉnh thể thường gồm nhiều bộ phận khác nhau, và nhiều bộ phận có thể được chia sẻ giữa các chỉnh thể.</w:t>
      </w:r>
    </w:p>
    <w:p>
      <w:pPr>
        <w:pStyle w:val="Heading1"/>
      </w:pPr>
      <w:r>
        <w:t xml:space="preserve">4. Phân bố theo loại quan hệ (Subtype)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rPr>
          <w:tblHeader/>
        </w:trPr>
        <w:tc>
          <w:tcPr>
            <w:tcW w:type="dxa" w:w="39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Loại</w:t>
            </w:r>
          </w:p>
        </w:tc>
        <w:tc>
          <w:tcPr>
            <w:tcW w:type="dxa" w:w="1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Meronym (cạnh)</w:t>
            </w:r>
          </w:p>
        </w:tc>
        <w:tc>
          <w:tcPr>
            <w:tcW w:type="dxa" w:w="1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Holonym (cạnh)</w:t>
            </w:r>
          </w:p>
        </w:tc>
        <w:tc>
          <w:tcPr>
            <w:tcW w:type="dxa" w:w="1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Tỷ trọng</w:t>
            </w:r>
          </w:p>
        </w:tc>
      </w:tr>
      <w:tr>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b/>
                <w:bCs/>
                <w:sz w:val="20"/>
                <w:szCs w:val="20"/>
              </w:rPr>
              <w:t xml:space="preserve">part</w:t>
            </w:r>
            <w:r>
              <w:rPr>
                <w:sz w:val="20"/>
                <w:szCs w:val="20"/>
              </w:rPr>
              <w:t xml:space="preserve"> (bộ phận cấu thành)</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5.387</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5.387</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77,7%</w:t>
            </w:r>
          </w:p>
        </w:tc>
      </w:tr>
      <w:tr>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b/>
                <w:bCs/>
                <w:sz w:val="20"/>
                <w:szCs w:val="20"/>
              </w:rPr>
              <w:t xml:space="preserve">substance</w:t>
            </w:r>
            <w:r>
              <w:rPr>
                <w:sz w:val="20"/>
                <w:szCs w:val="20"/>
              </w:rPr>
              <w:t xml:space="preserve"> (chất liệu)</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825</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825</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11,9%</w:t>
            </w:r>
          </w:p>
        </w:tc>
      </w:tr>
      <w:tr>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b/>
                <w:bCs/>
                <w:sz w:val="20"/>
                <w:szCs w:val="20"/>
              </w:rPr>
              <w:t xml:space="preserve">member</w:t>
            </w:r>
            <w:r>
              <w:rPr>
                <w:sz w:val="20"/>
                <w:szCs w:val="20"/>
              </w:rPr>
              <w:t xml:space="preserve"> (thành viên)</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723</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723</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10,4%</w:t>
            </w:r>
          </w:p>
        </w:tc>
      </w:tr>
      <w:tr>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b/>
                <w:bCs/>
                <w:sz w:val="20"/>
                <w:szCs w:val="20"/>
              </w:rPr>
              <w:t xml:space="preserve">location</w:t>
            </w:r>
            <w:r>
              <w:rPr>
                <w:sz w:val="20"/>
                <w:szCs w:val="20"/>
              </w:rPr>
              <w:t xml:space="preserve"> (vị trí)</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0</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0</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0,0%</w:t>
            </w:r>
          </w:p>
        </w:tc>
      </w:tr>
      <w:tr>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b/>
                <w:bCs/>
                <w:sz w:val="20"/>
                <w:szCs w:val="20"/>
              </w:rPr>
              <w:t xml:space="preserve">portion</w:t>
            </w:r>
            <w:r>
              <w:rPr>
                <w:sz w:val="20"/>
                <w:szCs w:val="20"/>
              </w:rPr>
              <w:t xml:space="preserve"> (phần chia)</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0</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0</w:t>
            </w:r>
          </w:p>
        </w:tc>
        <w:tc>
          <w:tcPr>
            <w:tcW w:type="dxa" w:w="1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0,0%</w:t>
            </w:r>
          </w:p>
        </w:tc>
      </w:tr>
      <w:tr>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b/>
                <w:bCs/>
                <w:sz w:val="20"/>
                <w:szCs w:val="20"/>
              </w:rPr>
              <w:t xml:space="preserve">Tổng</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b/>
                <w:bCs/>
                <w:sz w:val="20"/>
                <w:szCs w:val="20"/>
              </w:rPr>
              <w:t xml:space="preserve">6.935</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b/>
                <w:bCs/>
                <w:sz w:val="20"/>
                <w:szCs w:val="20"/>
              </w:rPr>
              <w:t xml:space="preserve">6.935</w:t>
            </w:r>
          </w:p>
        </w:tc>
        <w:tc>
          <w:tcPr>
            <w:tcW w:type="dxa" w:w="1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100%</w:t>
            </w:r>
          </w:p>
        </w:tc>
      </w:tr>
    </w:tbl>
    <w:p>
      <w:pPr>
        <w:spacing w:after="0" w:before="200"/>
        <w:jc w:val="center"/>
      </w:pPr>
      <w:r>
        <w:drawing>
          <wp:inline distT="0" distB="0" distL="0" distR="0">
            <wp:extent cx="4762500" cy="2543175"/>
            <wp:effectExtent t="0" r="0" b="0" l="0"/>
            <wp:docPr id="1" name="edges_by_subtype.png" descr="Số cạnh theo loại quan hệ" title="Số cạnh theo loại quan h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43175"/>
                    </a:xfrm>
                    <a:prstGeom prst="rect">
                      <a:avLst/>
                    </a:prstGeom>
                  </pic:spPr>
                </pic:pic>
              </a:graphicData>
            </a:graphic>
          </wp:inline>
        </w:drawing>
      </w:r>
    </w:p>
    <w:p>
      <w:pPr>
        <w:spacing w:after="240" w:before="80"/>
        <w:jc w:val="center"/>
      </w:pPr>
      <w:r>
        <w:rPr>
          <w:i/>
          <w:iCs/>
          <w:color w:val="555555"/>
          <w:sz w:val="20"/>
          <w:szCs w:val="20"/>
        </w:rPr>
        <w:t xml:space="preserve">Hình 1. Số cạnh theo loại quan hệ</w:t>
      </w:r>
    </w:p>
    <w:p>
      <w:pPr>
        <w:spacing w:after="160" w:line="300"/>
      </w:pPr>
      <w:r>
        <w:rPr>
          <w:b/>
          <w:bCs/>
        </w:rPr>
        <w:t xml:space="preserve">Nhận xét:</w:t>
      </w:r>
      <w:r>
        <w:t xml:space="preserve"> Cột meronym và holonym bằng nhau ở mọi loại — bằng chứng trực quan cho tính nghịch đảo. </w:t>
      </w:r>
      <w:r>
        <w:rPr>
          <w:rFonts w:ascii="Consolas" w:cs="Consolas" w:eastAsia="Consolas" w:hAnsi="Consolas"/>
        </w:rPr>
        <w:t xml:space="preserve">part</w:t>
      </w:r>
      <w:r>
        <w:t xml:space="preserve"> áp đảo; </w:t>
      </w:r>
      <w:r>
        <w:rPr>
          <w:rFonts w:ascii="Consolas" w:cs="Consolas" w:eastAsia="Consolas" w:hAnsi="Consolas"/>
        </w:rPr>
        <w:t xml:space="preserve">location</w:t>
      </w:r>
      <w:r>
        <w:t xml:space="preserve">/</w:t>
      </w:r>
      <w:r>
        <w:rPr>
          <w:rFonts w:ascii="Consolas" w:cs="Consolas" w:eastAsia="Consolas" w:hAnsi="Consolas"/>
        </w:rPr>
        <w:t xml:space="preserve">portion</w:t>
      </w:r>
      <w:r>
        <w:t xml:space="preserve"> tuy tồn tại trong lược đồ nhưng chưa có dữ liệu.</w:t>
      </w:r>
    </w:p>
    <w:p>
      <w:pPr>
        <w:pStyle w:val="Heading1"/>
      </w:pPr>
      <w:r>
        <w:t xml:space="preserve">5. Phân bố bậc (Degree distribution)</w:t>
      </w:r>
    </w:p>
    <w:p>
      <w:pPr>
        <w:spacing w:after="160" w:line="300"/>
      </w:pPr>
      <w:r>
        <w:rPr>
          <w:i/>
          <w:iCs/>
        </w:rPr>
        <w:t xml:space="preserve">Số meronym trên mỗi chỉnh thể</w:t>
      </w:r>
      <w:r>
        <w:t xml:space="preserve"> = một synset được phân rã thành bao nhiêu bộ phận. </w:t>
      </w:r>
      <w:r>
        <w:rPr>
          <w:i/>
          <w:iCs/>
        </w:rPr>
        <w:t xml:space="preserve">Số holonym trên mỗi bộ phận</w:t>
      </w:r>
      <w:r>
        <w:t xml:space="preserve"> = một synset thuộc về bao nhiêu chỉnh thể khác nhau.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Thống kê</w:t>
            </w:r>
          </w:p>
        </w:tc>
        <w:tc>
          <w:tcPr>
            <w:tcW w:type="dxa" w:w="24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Meronym / chỉnh thể</w:t>
            </w:r>
          </w:p>
        </w:tc>
        <w:tc>
          <w:tcPr>
            <w:tcW w:type="dxa" w:w="24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Holonym / bộ phận</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Số lượng</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4.099</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5.954</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Trung bình</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1,69</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1,16</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Trung vị</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Phân vị 90 (p90)</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Phân vị 99 (p99)</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4</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Lớn nhất</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31</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28</w:t>
            </w:r>
          </w:p>
        </w:tc>
      </w:tr>
    </w:tbl>
    <w:p>
      <w:pPr>
        <w:spacing w:after="0" w:before="200"/>
        <w:jc w:val="center"/>
      </w:pPr>
      <w:r>
        <w:drawing>
          <wp:inline distT="0" distB="0" distL="0" distR="0">
            <wp:extent cx="5524500" cy="2019300"/>
            <wp:effectExtent t="0" r="0" b="0" l="0"/>
            <wp:docPr id="1" name="degree_distributions.png" descr="Phân bố bậc" title="Phân bố bậ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019300"/>
                    </a:xfrm>
                    <a:prstGeom prst="rect">
                      <a:avLst/>
                    </a:prstGeom>
                  </pic:spPr>
                </pic:pic>
              </a:graphicData>
            </a:graphic>
          </wp:inline>
        </w:drawing>
      </w:r>
    </w:p>
    <w:p>
      <w:pPr>
        <w:spacing w:after="240" w:before="80"/>
        <w:jc w:val="center"/>
      </w:pPr>
      <w:r>
        <w:rPr>
          <w:i/>
          <w:iCs/>
          <w:color w:val="555555"/>
          <w:sz w:val="20"/>
          <w:szCs w:val="20"/>
        </w:rPr>
        <w:t xml:space="preserve">Hình 2. Phân bố bậc (thang log)</w:t>
      </w:r>
    </w:p>
    <w:p>
      <w:pPr>
        <w:spacing w:after="160" w:line="300"/>
      </w:pPr>
      <w:r>
        <w:rPr>
          <w:b/>
          <w:bCs/>
        </w:rPr>
        <w:t xml:space="preserve">Nhận xét:</w:t>
      </w:r>
      <w:r>
        <w:t xml:space="preserve"> Phân bố lệch mạnh về bên phải (heavy-tailed). Đa số synset chỉ có </w:t>
      </w:r>
      <w:r>
        <w:rPr>
          <w:b/>
          <w:bCs/>
        </w:rPr>
        <w:t xml:space="preserve">1 bộ phận / 1 chỉnh thể</w:t>
      </w:r>
      <w:r>
        <w:t xml:space="preserve"> (trung vị = 1); một số ít "trung tâm" (hub) có bậc rất cao. Trục tung dùng thang log để thấy rõ phần đuôi.</w:t>
      </w:r>
    </w:p>
    <w:p>
      <w:pPr>
        <w:pStyle w:val="Heading1"/>
      </w:pPr>
      <w:r>
        <w:t xml:space="preserve">6. Các synset trung tâm (Hubs)</w:t>
      </w:r>
    </w:p>
    <w:p>
      <w:pPr>
        <w:pStyle w:val="Heading2"/>
      </w:pPr>
      <w:r>
        <w:t xml:space="preserve">6.1. Top 15 synset có nhiều bộ phận nhất (meronym)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800"/>
        <w:gridCol w:w="2000"/>
      </w:tblGrid>
      <w:tr>
        <w:trPr>
          <w:tblHeader/>
        </w:trPr>
        <w:tc>
          <w:tcPr>
            <w:tcW w:type="dxa" w:w="6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9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Synset</w:t>
            </w:r>
          </w:p>
        </w:tc>
        <w:tc>
          <w:tcPr>
            <w:tcW w:type="dxa" w:w="2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Mã</w:t>
            </w:r>
          </w:p>
        </w:tc>
        <w:tc>
          <w:tcPr>
            <w:tcW w:type="dxa" w:w="20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Số bộ phận</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ship</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oewn-04201332-n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31</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2</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car, auto, automobile, machine, motorcar</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oewn-02961779-n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30</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3</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Roman alphabet, Latin alphabet</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oewn-06509863-n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26</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4</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body armor, suit of armor, coat of mail, cataphract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oewn-02865388-n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25</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5</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building, edifice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oewn-02916498-n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24</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6</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Greek alphabet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oewn-06511235-n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24</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7</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eye, oculus, optic</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oewn-05318579-n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23</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8</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Hebrew alphabet, Hebraic alphabet, Hebrew script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oewn-06510560-n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23</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9</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motor vehicle, automotive vehicle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oewn-03796768-n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21</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10</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electromagnetic spectrum</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oewn-11471859-n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20</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11</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body, organic structure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oewn-05223633-n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19</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12</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garment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oewn-03423924-n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18</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13</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torso, trunk, body</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oewn-05557463-n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17</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14</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leg</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oewn-05568420-n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17</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15</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skin, tegument, cutis</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oewn-05245612-n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16</w:t>
            </w:r>
          </w:p>
        </w:tc>
      </w:tr>
    </w:tbl>
    <w:p>
      <w:pPr>
        <w:spacing w:after="0" w:before="200"/>
        <w:jc w:val="center"/>
      </w:pPr>
      <w:r>
        <w:drawing>
          <wp:inline distT="0" distB="0" distL="0" distR="0">
            <wp:extent cx="5524500" cy="2600325"/>
            <wp:effectExtent t="0" r="0" b="0" l="0"/>
            <wp:docPr id="1" name="top_meronym_hubs.png" descr="Top meronym hubs" title="Top meronym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00325"/>
                    </a:xfrm>
                    <a:prstGeom prst="rect">
                      <a:avLst/>
                    </a:prstGeom>
                  </pic:spPr>
                </pic:pic>
              </a:graphicData>
            </a:graphic>
          </wp:inline>
        </w:drawing>
      </w:r>
    </w:p>
    <w:p>
      <w:pPr>
        <w:spacing w:after="240" w:before="80"/>
        <w:jc w:val="center"/>
      </w:pPr>
      <w:r>
        <w:rPr>
          <w:i/>
          <w:iCs/>
          <w:color w:val="555555"/>
          <w:sz w:val="20"/>
          <w:szCs w:val="20"/>
        </w:rPr>
        <w:t xml:space="preserve">Hình 3. Top 15 synset có nhiều bộ phận nhất</w:t>
      </w:r>
    </w:p>
    <w:p>
      <w:pPr>
        <w:pStyle w:val="Heading2"/>
      </w:pPr>
      <w:r>
        <w:t xml:space="preserve">6.2. Top 15 synset thuộc về nhiều chỉnh thể nhất (holonym)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800"/>
        <w:gridCol w:w="2000"/>
      </w:tblGrid>
      <w:tr>
        <w:trPr>
          <w:tblHeader/>
        </w:trPr>
        <w:tc>
          <w:tcPr>
            <w:tcW w:type="dxa" w:w="6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center"/>
            </w:pPr>
            <w:r>
              <w:rPr>
                <w:b/>
                <w:bCs/>
                <w:color w:val="FFFFFF"/>
                <w:sz w:val="20"/>
                <w:szCs w:val="20"/>
              </w:rPr>
              <w:t xml:space="preserve">#</w:t>
            </w:r>
          </w:p>
        </w:tc>
        <w:tc>
          <w:tcPr>
            <w:tcW w:type="dxa" w:w="39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Synset</w:t>
            </w:r>
          </w:p>
        </w:tc>
        <w:tc>
          <w:tcPr>
            <w:tcW w:type="dxa" w:w="2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Mã</w:t>
            </w:r>
          </w:p>
        </w:tc>
        <w:tc>
          <w:tcPr>
            <w:tcW w:type="dxa" w:w="20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Số chỉnh thể</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handle, grip, handgrip, hold</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oewn-03491080-n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28</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2</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centavo</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oewn-13687361-n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19</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3</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centime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oewn-13688070-n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18</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4</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electric motor</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oewn-03277972-n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12</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5</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indole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oewn-92463112-n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11</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6</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cent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oewn-13686626-n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9</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7</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leg</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oewn-03660152-n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8</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8</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anise, aniseed, anise seed</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oewn-07842629-n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9</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blade</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oewn-02851454-n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10</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haft, helve</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oewn-03480019-n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7</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11</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shelf</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oewn-04197095-n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12</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copper, Cu, atomic number 29</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oewn-14659900-n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7</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13</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propionic acid, propanoic acid</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oewn-14886904-n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r>
      <w:tr>
        <w:tc>
          <w:tcPr>
            <w:tcW w:type="dxa" w:w="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center"/>
            </w:pPr>
            <w:r>
              <w:rPr>
                <w:sz w:val="20"/>
                <w:szCs w:val="20"/>
              </w:rPr>
              <w:t xml:space="preserve">14</w:t>
            </w:r>
          </w:p>
        </w:tc>
        <w:tc>
          <w:tcPr>
            <w:tcW w:type="dxa" w:w="39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hinge, flexible joint</w:t>
            </w:r>
          </w:p>
        </w:tc>
        <w:tc>
          <w:tcPr>
            <w:tcW w:type="dxa" w:w="2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oewn-03526239-n</w:t>
            </w:r>
          </w:p>
        </w:tc>
        <w:tc>
          <w:tcPr>
            <w:tcW w:type="dxa" w:w="20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w:t>
            </w:r>
          </w:p>
        </w:tc>
      </w:tr>
      <w:tr>
        <w:tc>
          <w:tcPr>
            <w:tcW w:type="dxa" w:w="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center"/>
            </w:pPr>
            <w:r>
              <w:rPr>
                <w:sz w:val="20"/>
                <w:szCs w:val="20"/>
              </w:rPr>
              <w:t xml:space="preserve">15</w:t>
            </w:r>
          </w:p>
        </w:tc>
        <w:tc>
          <w:tcPr>
            <w:tcW w:type="dxa" w:w="39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keyboard</w:t>
            </w:r>
          </w:p>
        </w:tc>
        <w:tc>
          <w:tcPr>
            <w:tcW w:type="dxa" w:w="2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oewn-03619216-n</w:t>
            </w:r>
          </w:p>
        </w:tc>
        <w:tc>
          <w:tcPr>
            <w:tcW w:type="dxa" w:w="20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w:t>
            </w:r>
          </w:p>
        </w:tc>
      </w:tr>
    </w:tbl>
    <w:p>
      <w:pPr>
        <w:spacing w:after="0" w:before="200"/>
        <w:jc w:val="center"/>
      </w:pPr>
      <w:r>
        <w:drawing>
          <wp:inline distT="0" distB="0" distL="0" distR="0">
            <wp:extent cx="5238750" cy="3171825"/>
            <wp:effectExtent t="0" r="0" b="0" l="0"/>
            <wp:docPr id="1" name="top_holonym_hubs.png" descr="Top holonym hubs" title="Top holonym hu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71825"/>
                    </a:xfrm>
                    <a:prstGeom prst="rect">
                      <a:avLst/>
                    </a:prstGeom>
                  </pic:spPr>
                </pic:pic>
              </a:graphicData>
            </a:graphic>
          </wp:inline>
        </w:drawing>
      </w:r>
    </w:p>
    <w:p>
      <w:pPr>
        <w:spacing w:after="240" w:before="80"/>
        <w:jc w:val="center"/>
      </w:pPr>
      <w:r>
        <w:rPr>
          <w:i/>
          <w:iCs/>
          <w:color w:val="555555"/>
          <w:sz w:val="20"/>
          <w:szCs w:val="20"/>
        </w:rPr>
        <w:t xml:space="preserve">Hình 4. Top 15 synset thuộc về nhiều chỉnh thể nhất</w:t>
      </w:r>
    </w:p>
    <w:p>
      <w:pPr>
        <w:spacing w:after="160" w:line="300"/>
      </w:pPr>
      <w:r>
        <w:rPr>
          <w:b/>
          <w:bCs/>
        </w:rPr>
        <w:t xml:space="preserve">Nhận xét:</w:t>
      </w:r>
      <w:r>
        <w:t xml:space="preserve"> Nhóm meronym-hub tập trung vào </w:t>
      </w:r>
      <w:r>
        <w:rPr>
          <w:b/>
          <w:bCs/>
        </w:rPr>
        <w:t xml:space="preserve">vật thể phức tạp</w:t>
      </w:r>
      <w:r>
        <w:t xml:space="preserve"> (tàu, xe, tòa nhà, cơ thể, bảng chữ cái). Nhóm holonym-hub là các </w:t>
      </w:r>
      <w:r>
        <w:rPr>
          <w:b/>
          <w:bCs/>
        </w:rPr>
        <w:t xml:space="preserve">bộ phận/chất liệu dùng chung</w:t>
      </w:r>
      <w:r>
        <w:t xml:space="preserve"> (tay cầm, đơn vị tiền tệ nhỏ, motor, nguyên tố hóa học) — xuất hiện trong rất nhiều chỉnh thể.</w:t>
      </w:r>
    </w:p>
    <w:p>
      <w:pPr>
        <w:pStyle w:val="Heading1"/>
      </w:pPr>
      <w:r>
        <w:t xml:space="preserve">7. Hình dạng cây (Tree shape)</w:t>
      </w:r>
    </w:p>
    <w:p>
      <w:pPr>
        <w:spacing w:after="160" w:line="300"/>
      </w:pPr>
      <w:r>
        <w:t xml:space="preserve">Mỗi "gốc" trong file văn bản được mở rộng đệ quy (có chặn chu trình). Bảng dưới đo </w:t>
      </w:r>
      <w:r>
        <w:rPr>
          <w:b/>
          <w:bCs/>
        </w:rPr>
        <w:t xml:space="preserve">độ sâu tối đa</w:t>
      </w:r>
      <w:r>
        <w:t xml:space="preserve"> và </w:t>
      </w:r>
      <w:r>
        <w:rPr>
          <w:b/>
          <w:bCs/>
        </w:rPr>
        <w:t xml:space="preserve">số dòng</w:t>
      </w:r>
      <w:r>
        <w:t xml:space="preserve"> (số hàng mà gốc đó đóng góp vào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Chỉ số</w:t>
            </w:r>
          </w:p>
        </w:tc>
        <w:tc>
          <w:tcPr>
            <w:tcW w:type="dxa" w:w="24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Cây meronym</w:t>
            </w:r>
          </w:p>
        </w:tc>
        <w:tc>
          <w:tcPr>
            <w:tcW w:type="dxa" w:w="24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Cây holonym</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Số cây gốc</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4.099</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5.954</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Độ sâu tối đa</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14</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14</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Độ sâu trung bình</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1,41</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1,71</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Cây lớn nhất (số dòng)</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645</w:t>
            </w:r>
          </w:p>
        </w:tc>
        <w:tc>
          <w:tcPr>
            <w:tcW w:type="dxa" w:w="24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57</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Tổng số dòng</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17.026</w:t>
            </w:r>
          </w:p>
        </w:tc>
        <w:tc>
          <w:tcPr>
            <w:tcW w:type="dxa" w:w="24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18.881</w:t>
            </w:r>
          </w:p>
        </w:tc>
      </w:tr>
    </w:tbl>
    <w:p>
      <w:pPr>
        <w:spacing w:after="0" w:before="200"/>
        <w:jc w:val="center"/>
      </w:pPr>
      <w:r>
        <w:drawing>
          <wp:inline distT="0" distB="0" distL="0" distR="0">
            <wp:extent cx="5524500" cy="2019300"/>
            <wp:effectExtent t="0" r="0" b="0" l="0"/>
            <wp:docPr id="1" name="tree_depth.png" descr="Phân bố độ sâu cây" title="Phân bố độ sâu c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019300"/>
                    </a:xfrm>
                    <a:prstGeom prst="rect">
                      <a:avLst/>
                    </a:prstGeom>
                  </pic:spPr>
                </pic:pic>
              </a:graphicData>
            </a:graphic>
          </wp:inline>
        </w:drawing>
      </w:r>
    </w:p>
    <w:p>
      <w:pPr>
        <w:spacing w:after="240" w:before="80"/>
        <w:jc w:val="center"/>
      </w:pPr>
      <w:r>
        <w:rPr>
          <w:i/>
          <w:iCs/>
          <w:color w:val="555555"/>
          <w:sz w:val="20"/>
          <w:szCs w:val="20"/>
        </w:rPr>
        <w:t xml:space="preserve">Hình 5. Phân bố độ sâu cây</w:t>
      </w:r>
    </w:p>
    <w:p>
      <w:pPr>
        <w:spacing w:after="200" w:before="100"/>
      </w:pPr>
      <w:r>
        <w:rPr>
          <w:i/>
          <w:iCs/>
          <w:color w:val="555555"/>
          <w:sz w:val="20"/>
          <w:szCs w:val="20"/>
        </w:rPr>
        <w:t xml:space="preserve">(Tổng số dòng node = 17.026 + 18.881 = 35.907; cộng dòng trống phân tách và tiêu đề ⇒ file oewn2024_meronym_holonym.txt có 45.966 dòng.)</w:t>
      </w:r>
    </w:p>
    <w:p>
      <w:pPr>
        <w:pStyle w:val="Heading2"/>
      </w:pPr>
      <w:r>
        <w:t xml:space="preserve">7.1. Top cây meronym lớn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600"/>
        <w:gridCol w:w="1100"/>
        <w:gridCol w:w="1100"/>
      </w:tblGrid>
      <w:tr>
        <w:trPr>
          <w:tblHeader/>
        </w:trPr>
        <w:tc>
          <w:tcPr>
            <w:tcW w:type="dxa" w:w="45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Synset</w:t>
            </w:r>
          </w:p>
        </w:tc>
        <w:tc>
          <w:tcPr>
            <w:tcW w:type="dxa" w:w="26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Mã</w:t>
            </w:r>
          </w:p>
        </w:tc>
        <w:tc>
          <w:tcPr>
            <w:tcW w:type="dxa" w:w="11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Độ sâu</w:t>
            </w:r>
          </w:p>
        </w:tc>
        <w:tc>
          <w:tcPr>
            <w:tcW w:type="dxa" w:w="11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Số dòng</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body, organic structure</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oewn-05223633-n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9</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645</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animal, animate being, beast, brute, creature, fauna</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oewn-00015568-n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242</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head, caput</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oewn-05546258-n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239</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homo, man, human being, human</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oewn-02474924-n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7</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192</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face, human face</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oewn-05608392-n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108</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endoskeleton</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oewn-05594096-n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106</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motor vehicle, automotive vehicle</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oewn-03796768-n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4</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105</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nervous system, systema nervosum</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oewn-05469891-n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101</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building, edifice</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oewn-02916498-n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92</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Gregorian calendar, New Style calendar</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oewn-15199265-n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84</w:t>
            </w:r>
          </w:p>
        </w:tc>
      </w:tr>
    </w:tbl>
    <w:p>
      <w:pPr>
        <w:pStyle w:val="Heading2"/>
      </w:pPr>
      <w:r>
        <w:t xml:space="preserve">7.2. Top cây holonym lớn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600"/>
        <w:gridCol w:w="1100"/>
        <w:gridCol w:w="1100"/>
      </w:tblGrid>
      <w:tr>
        <w:trPr>
          <w:tblHeader/>
        </w:trPr>
        <w:tc>
          <w:tcPr>
            <w:tcW w:type="dxa" w:w="45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Synset</w:t>
            </w:r>
          </w:p>
        </w:tc>
        <w:tc>
          <w:tcPr>
            <w:tcW w:type="dxa" w:w="26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Mã</w:t>
            </w:r>
          </w:p>
        </w:tc>
        <w:tc>
          <w:tcPr>
            <w:tcW w:type="dxa" w:w="11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Độ sâu</w:t>
            </w:r>
          </w:p>
        </w:tc>
        <w:tc>
          <w:tcPr>
            <w:tcW w:type="dxa" w:w="11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right"/>
            </w:pPr>
            <w:r>
              <w:rPr>
                <w:b/>
                <w:bCs/>
                <w:color w:val="FFFFFF"/>
                <w:sz w:val="20"/>
                <w:szCs w:val="20"/>
              </w:rPr>
              <w:t xml:space="preserve">Số dòng</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neuroepithelium</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oewn-05248193-n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57</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shank, stem</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oewn-04191138-n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37</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taste cell, gustatory cell</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oewn-05312888-n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7</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37</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tastebud, taste bud, gustatory organ</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oewn-05312635-n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36</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handle, grip, handgrip, hold</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oewn-03491080-n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30</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urethral orifice, external orifice</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oewn-05520321-n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29</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selenium, Se, atomic number 34</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oewn-14678354-n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24</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armature</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oewn-02741276-n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4</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23</w:t>
            </w:r>
          </w:p>
        </w:tc>
      </w:tr>
      <w:tr>
        <w:tc>
          <w:tcPr>
            <w:tcW w:type="dxa" w:w="4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selenite</w:t>
            </w:r>
          </w:p>
        </w:tc>
        <w:tc>
          <w:tcPr>
            <w:tcW w:type="dxa" w:w="26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oewn-92463440-n</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5</w:t>
            </w:r>
          </w:p>
        </w:tc>
        <w:tc>
          <w:tcPr>
            <w:tcW w:type="dxa" w:w="11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right"/>
            </w:pPr>
            <w:r>
              <w:rPr>
                <w:sz w:val="20"/>
                <w:szCs w:val="20"/>
              </w:rPr>
              <w:t xml:space="preserve">22</w:t>
            </w:r>
          </w:p>
        </w:tc>
      </w:tr>
      <w:tr>
        <w:tc>
          <w:tcPr>
            <w:tcW w:type="dxa" w:w="4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vas deferens, ductus deferens</w:t>
            </w:r>
          </w:p>
        </w:tc>
        <w:tc>
          <w:tcPr>
            <w:tcW w:type="dxa" w:w="26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oewn-05533826-n</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6</w:t>
            </w:r>
          </w:p>
        </w:tc>
        <w:tc>
          <w:tcPr>
            <w:tcW w:type="dxa" w:w="11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right"/>
            </w:pPr>
            <w:r>
              <w:rPr>
                <w:sz w:val="20"/>
                <w:szCs w:val="20"/>
              </w:rPr>
              <w:t xml:space="preserve">22</w:t>
            </w:r>
          </w:p>
        </w:tc>
      </w:tr>
    </w:tbl>
    <w:p>
      <w:pPr>
        <w:spacing w:after="160" w:line="300"/>
      </w:pPr>
      <w:r>
        <w:rPr>
          <w:b/>
          <w:bCs/>
        </w:rPr>
        <w:t xml:space="preserve">Nhận xét:</w:t>
      </w:r>
      <w:r>
        <w:t xml:space="preserve"> Cây meronym lớn nhất đều thuộc </w:t>
      </w:r>
      <w:r>
        <w:rPr>
          <w:b/>
          <w:bCs/>
        </w:rPr>
        <w:t xml:space="preserve">lĩnh vực giải phẫu/sinh học</w:t>
      </w:r>
      <w:r>
        <w:t xml:space="preserve"> (cơ thể, động vật, đầu, hệ thần kinh) — do cơ thể có cấu trúc phân rã sâu nhiều tầng. Cây holonym nhỏ hơn nhiều (tối đa 57 dòng so với 645), phản ánh việc "đi ngược lên chỉnh thể" nhanh chóng hội tụ.</w:t>
      </w:r>
    </w:p>
    <w:p>
      <w:pPr>
        <w:pStyle w:val="Heading1"/>
      </w:pPr>
      <w:r>
        <w:t xml:space="preserve">8. Kết luận &amp; khuyến nghị</w:t>
      </w:r>
    </w:p>
    <w:p>
      <w:pPr>
        <w:pStyle w:val="ListParagraph"/>
        <w:numPr>
          <w:ilvl w:val="0"/>
          <w:numId w:val="3"/>
        </w:numPr>
        <w:spacing w:after="120" w:line="300"/>
      </w:pPr>
      <w:r>
        <w:rPr>
          <w:b/>
          <w:bCs/>
        </w:rPr>
        <w:t xml:space="preserve">Quan hệ bộ phận/chỉnh thể phủ hẹp</w:t>
      </w:r>
      <w:r>
        <w:t xml:space="preserve"> (chỉ ~4–6% synset) nhưng </w:t>
      </w:r>
      <w:r>
        <w:rPr>
          <w:b/>
          <w:bCs/>
        </w:rPr>
        <w:t xml:space="preserve">cô đọng và chính xác</w:t>
      </w:r>
      <w:r>
        <w:t xml:space="preserve">: chủ yếu là danh từ chỉ vật thể cụ thể.</w:t>
      </w:r>
    </w:p>
    <w:p>
      <w:pPr>
        <w:pStyle w:val="ListParagraph"/>
        <w:numPr>
          <w:ilvl w:val="0"/>
          <w:numId w:val="3"/>
        </w:numPr>
        <w:spacing w:after="120" w:line="300"/>
      </w:pPr>
      <w:r>
        <w:rPr>
          <w:b/>
          <w:bCs/>
        </w:rPr>
        <w:t xml:space="preserve">`part` là loại quan hệ cốt lõi</w:t>
      </w:r>
      <w:r>
        <w:t xml:space="preserve"> (77,7%); nếu ứng dụng chỉ cần một loại, </w:t>
      </w:r>
      <w:r>
        <w:rPr>
          <w:rFonts w:ascii="Consolas" w:cs="Consolas" w:eastAsia="Consolas" w:hAnsi="Consolas"/>
        </w:rPr>
        <w:t xml:space="preserve">mero_part</w:t>
      </w:r>
      <w:r>
        <w:t xml:space="preserve">/</w:t>
      </w:r>
      <w:r>
        <w:rPr>
          <w:rFonts w:ascii="Consolas" w:cs="Consolas" w:eastAsia="Consolas" w:hAnsi="Consolas"/>
        </w:rPr>
        <w:t xml:space="preserve">holo_part</w:t>
      </w:r>
      <w:r>
        <w:t xml:space="preserve"> là đủ cho phần lớn trường hợp.</w:t>
      </w:r>
    </w:p>
    <w:p>
      <w:pPr>
        <w:pStyle w:val="ListParagraph"/>
        <w:numPr>
          <w:ilvl w:val="0"/>
          <w:numId w:val="3"/>
        </w:numPr>
        <w:spacing w:after="120" w:line="300"/>
      </w:pPr>
      <w:r>
        <w:rPr>
          <w:b/>
          <w:bCs/>
        </w:rPr>
        <w:t xml:space="preserve">Thiếu dữ liệu `location` và `portion`</w:t>
      </w:r>
      <w:r>
        <w:t xml:space="preserve"> trong 2025 — cần lưu ý nếu hệ thống hạ nguồn kỳ vọng có hai loại này.</w:t>
      </w:r>
    </w:p>
    <w:p>
      <w:pPr>
        <w:pStyle w:val="ListParagraph"/>
        <w:numPr>
          <w:ilvl w:val="0"/>
          <w:numId w:val="3"/>
        </w:numPr>
        <w:spacing w:after="120" w:line="300"/>
      </w:pPr>
      <w:r>
        <w:rPr>
          <w:b/>
          <w:bCs/>
        </w:rPr>
        <w:t xml:space="preserve">Miền giải phẫu/sinh học là nơi cấu trúc phong phú nhất</w:t>
      </w:r>
      <w:r>
        <w:t xml:space="preserve"> — phù hợp để làm ví dụ minh họa hoặc trọng tâm cho ứng dụng.</w:t>
      </w:r>
    </w:p>
    <w:p>
      <w:pPr>
        <w:pStyle w:val="ListParagraph"/>
        <w:numPr>
          <w:ilvl w:val="0"/>
          <w:numId w:val="3"/>
        </w:numPr>
        <w:spacing w:after="120" w:line="300"/>
      </w:pPr>
      <w:r>
        <w:t xml:space="preserve">Tính nghịch đảo được </w:t>
      </w:r>
      <w:r>
        <w:rPr>
          <w:b/>
          <w:bCs/>
        </w:rPr>
        <w:t xml:space="preserve">kiểm chứng bằng số liệu</w:t>
      </w:r>
      <w:r>
        <w:t xml:space="preserve"> (6.935 = 6.935), đảm bảo dữ liệu trích xuất đáng tin cậy.</w:t>
      </w:r>
    </w:p>
    <w:p>
      <w:pPr>
        <w:pStyle w:val="Heading1"/>
      </w:pPr>
      <w:r>
        <w:t xml:space="preserve">9. Phụ lục — tái lập kết quả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5800"/>
      </w:tblGrid>
      <w:tr>
        <w:trPr>
          <w:tblHeader/>
        </w:trPr>
        <w:tc>
          <w:tcPr>
            <w:tcW w:type="dxa" w:w="356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Tệp</w:t>
            </w:r>
          </w:p>
        </w:tc>
        <w:tc>
          <w:tcPr>
            <w:tcW w:type="dxa" w:w="5800"/>
            <w:tcBorders>
              <w:top w:val="single" w:color="BFBFBF" w:sz="2"/>
              <w:left w:val="single" w:color="BFBFBF" w:sz="2"/>
              <w:bottom w:val="single" w:color="BFBFBF" w:sz="2"/>
              <w:right w:val="single" w:color="BFBFBF" w:sz="2"/>
            </w:tcBorders>
            <w:shd w:fill="2E5B8A" w:val="clear"/>
            <w:tcMar>
              <w:top w:type="dxa" w:w="80"/>
              <w:left w:type="dxa" w:w="120"/>
              <w:bottom w:type="dxa" w:w="80"/>
              <w:right w:type="dxa" w:w="120"/>
            </w:tcMar>
            <w:vAlign w:val="center"/>
          </w:tcPr>
          <w:p>
            <w:pPr>
              <w:jc w:val="left"/>
            </w:pPr>
            <w:r>
              <w:rPr>
                <w:b/>
                <w:bCs/>
                <w:color w:val="FFFFFF"/>
                <w:sz w:val="20"/>
                <w:szCs w:val="20"/>
              </w:rPr>
              <w:t xml:space="preserve">Mô tả</w:t>
            </w:r>
          </w:p>
        </w:tc>
      </w:tr>
      <w:tr>
        <w:tc>
          <w:tcPr>
            <w:tcW w:type="dxa" w:w="3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extract_meronym_holonym.ipynb</w:t>
            </w:r>
          </w:p>
        </w:tc>
        <w:tc>
          <w:tcPr>
            <w:tcW w:type="dxa" w:w="5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Notebook trích xuất cây meronym/holonym ra file văn bản</w:t>
            </w:r>
          </w:p>
        </w:tc>
      </w:tr>
      <w:tr>
        <w:tc>
          <w:tcPr>
            <w:tcW w:type="dxa" w:w="3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oewn2024_meronym_holonym.txt</w:t>
            </w:r>
          </w:p>
        </w:tc>
        <w:tc>
          <w:tcPr>
            <w:tcW w:type="dxa" w:w="5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Kết quả trích xuất (2 phần: MERONYM, HOLONYM), 45.966 dòng</w:t>
            </w:r>
          </w:p>
        </w:tc>
      </w:tr>
      <w:tr>
        <w:tc>
          <w:tcPr>
            <w:tcW w:type="dxa" w:w="3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statistics_meronym_holonym.ipynb</w:t>
            </w:r>
          </w:p>
        </w:tc>
        <w:tc>
          <w:tcPr>
            <w:tcW w:type="dxa" w:w="5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Notebook tính toàn bộ thống kê trong báo cáo này</w:t>
            </w:r>
          </w:p>
        </w:tc>
      </w:tr>
      <w:tr>
        <w:tc>
          <w:tcPr>
            <w:tcW w:type="dxa" w:w="356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stats_output/*.png</w:t>
            </w:r>
          </w:p>
        </w:tc>
        <w:tc>
          <w:tcPr>
            <w:tcW w:type="dxa" w:w="5800"/>
            <w:tcBorders>
              <w:top w:val="single" w:color="BFBFBF" w:sz="2"/>
              <w:left w:val="single" w:color="BFBFBF" w:sz="2"/>
              <w:bottom w:val="single" w:color="BFBFBF" w:sz="2"/>
              <w:right w:val="single" w:color="BFBFBF" w:sz="2"/>
            </w:tcBorders>
            <w:shd w:fill="EEF3F8" w:val="clear"/>
            <w:tcMar>
              <w:top w:type="dxa" w:w="60"/>
              <w:left w:type="dxa" w:w="120"/>
              <w:bottom w:type="dxa" w:w="60"/>
              <w:right w:type="dxa" w:w="120"/>
            </w:tcMar>
            <w:vAlign w:val="center"/>
          </w:tcPr>
          <w:p>
            <w:pPr>
              <w:jc w:val="left"/>
            </w:pPr>
            <w:r>
              <w:rPr>
                <w:sz w:val="20"/>
                <w:szCs w:val="20"/>
              </w:rPr>
              <w:t xml:space="preserve">Biểu đồ (edges_by_subtype, degree_distributions, top hubs, tree_depth)</w:t>
            </w:r>
          </w:p>
        </w:tc>
      </w:tr>
      <w:tr>
        <w:tc>
          <w:tcPr>
            <w:tcW w:type="dxa" w:w="356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stats_output/*.csv</w:t>
            </w:r>
          </w:p>
        </w:tc>
        <w:tc>
          <w:tcPr>
            <w:tcW w:type="dxa" w:w="5800"/>
            <w:tcBorders>
              <w:top w:val="single" w:color="BFBFBF" w:sz="2"/>
              <w:left w:val="single" w:color="BFBFBF" w:sz="2"/>
              <w:bottom w:val="single" w:color="BFBFBF" w:sz="2"/>
              <w:right w:val="single" w:color="BFBFBF" w:sz="2"/>
            </w:tcBorders>
            <w:tcMar>
              <w:top w:type="dxa" w:w="60"/>
              <w:left w:type="dxa" w:w="120"/>
              <w:bottom w:type="dxa" w:w="60"/>
              <w:right w:type="dxa" w:w="120"/>
            </w:tcMar>
            <w:vAlign w:val="center"/>
          </w:tcPr>
          <w:p>
            <w:pPr>
              <w:jc w:val="left"/>
            </w:pPr>
            <w:r>
              <w:rPr>
                <w:sz w:val="20"/>
                <w:szCs w:val="20"/>
              </w:rPr>
              <w:t xml:space="preserve">Bảng số liệu gốc (coverage, subtype, degree, hubs, tree)</w:t>
            </w:r>
          </w:p>
        </w:tc>
      </w:tr>
    </w:tbl>
    <w:p>
      <w:pPr>
        <w:spacing w:after="160" w:line="300"/>
      </w:pPr>
    </w:p>
    <w:p>
      <w:pPr>
        <w:spacing w:after="160" w:line="300"/>
      </w:pPr>
      <w:r>
        <w:rPr>
          <w:b/>
          <w:bCs/>
        </w:rPr>
        <w:t xml:space="preserve">Lệnh chạy lại thống kê:</w:t>
      </w:r>
    </w:p>
    <w:p>
      <w:pPr>
        <w:shd w:fill="F2F2F2" w:val="clear"/>
        <w:spacing w:after="100" w:before="100"/>
      </w:pPr>
      <w:r>
        <w:rPr>
          <w:rFonts w:ascii="Consolas" w:cs="Consolas" w:eastAsia="Consolas" w:hAnsi="Consolas"/>
          <w:sz w:val="20"/>
          <w:szCs w:val="20"/>
        </w:rPr>
        <w:t xml:space="preserve">cd Ms_Trang</w:t>
      </w:r>
    </w:p>
    <w:p>
      <w:pPr>
        <w:shd w:fill="F2F2F2" w:val="clear"/>
        <w:spacing w:after="200" w:before="0"/>
      </w:pPr>
      <w:r>
        <w:rPr>
          <w:rFonts w:ascii="Consolas" w:cs="Consolas" w:eastAsia="Consolas" w:hAnsi="Consolas"/>
          <w:sz w:val="18"/>
          <w:szCs w:val="18"/>
        </w:rPr>
        <w:t xml:space="preserve">../.venv/bin/jupyter nbconvert --to notebook --execute --inplace statistics_meronym_holonym.ipynb</w:t>
      </w:r>
    </w:p>
    <w:p>
      <w:pPr>
        <w:spacing w:after="200" w:before="100"/>
      </w:pPr>
      <w:r>
        <w:rPr>
          <w:i/>
          <w:iCs/>
          <w:color w:val="555555"/>
          <w:sz w:val="20"/>
          <w:szCs w:val="20"/>
        </w:rPr>
        <w:t xml:space="preserve">Báo cáo tạo tự động từ kết quả đã chạy của statistics_meronym_holonym.ipynb trên oewn:2025.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Trang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Meronym – Holonym trong WordNet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B8A" w:sz="4"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917fe7edbe6105f6f5a47ded97af4e5fea5018.png"/><Relationship Id="rId10" Type="http://schemas.openxmlformats.org/officeDocument/2006/relationships/image" Target="media/39a3f9293d844219814b5a0e90b08bb2d4f23c6e.png"/><Relationship Id="rId11" Type="http://schemas.openxmlformats.org/officeDocument/2006/relationships/image" Target="media/0029a64c4f1f3d3ed7ec0f32cabfa1b2fa56e4d5.png"/><Relationship Id="rId12" Type="http://schemas.openxmlformats.org/officeDocument/2006/relationships/image" Target="media/7ccaab86db191d6e5940adb259f08cc6ff3b04ff.png"/><Relationship Id="rId13" Type="http://schemas.openxmlformats.org/officeDocument/2006/relationships/image" Target="media/676c4eb7327ba3b13f56e30c02ec18b3f278bca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quan hệ Bộ phận – Chỉnh thể (Meronym – Holonym) trong WordNet</dc:title>
  <dc:creator>Claude Code</dc:creator>
  <cp:lastModifiedBy>Un-named</cp:lastModifiedBy>
  <cp:revision>1</cp:revision>
  <dcterms:created xsi:type="dcterms:W3CDTF">2026-07-07T15:24:30.278Z</dcterms:created>
  <dcterms:modified xsi:type="dcterms:W3CDTF">2026-07-07T15:24:30.279Z</dcterms:modified>
</cp:coreProperties>
</file>

<file path=docProps/custom.xml><?xml version="1.0" encoding="utf-8"?>
<Properties xmlns="http://schemas.openxmlformats.org/officeDocument/2006/custom-properties" xmlns:vt="http://schemas.openxmlformats.org/officeDocument/2006/docPropsVTypes"/>
</file>