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F3864"/>
          <w:sz w:val="64"/>
          <w:szCs w:val="64"/>
        </w:rPr>
        <w:t xml:space="preserve">Sponsor Licence</w:t>
      </w:r>
    </w:p>
    <w:p>
      <w:pPr>
        <w:spacing w:after="60"/>
        <w:jc w:val="center"/>
      </w:pPr>
      <w:r>
        <w:rPr>
          <w:b/>
          <w:bCs/>
          <w:color w:val="1F7A8C"/>
          <w:sz w:val="34"/>
          <w:szCs w:val="34"/>
        </w:rPr>
        <w:t xml:space="preserve">Flow &amp; Module Guide for Sponsors</w:t>
      </w:r>
    </w:p>
    <w:p>
      <w:pPr>
        <w:spacing w:after="440"/>
        <w:jc w:val="center"/>
      </w:pPr>
      <w:r>
        <w:rPr>
          <w:i/>
          <w:iCs/>
          <w:color w:val="5A5A5A"/>
          <w:sz w:val="22"/>
          <w:szCs w:val="22"/>
        </w:rPr>
        <w:t xml:space="preserve">The complete sponsor journey — every portal module, the licence application flow, CoS allocation, sponsored-worker management and ongoing compliance.</w:t>
      </w:r>
    </w:p>
    <w:tbl>
      <w:tblPr>
        <w:tblW w:type="pct" w:w="100%"/>
        <w:tblBorders>
          <w:top w:val="single" w:color="1F3864" w:sz="2"/>
          <w:left w:val="single" w:color="1F3864" w:sz="16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100"/>
      </w:tblGrid>
      <w:tr>
        <w:tc>
          <w:tcPr>
            <w:shd w:fill="EAF0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What this guide covers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The Sponsor Portal and all of its modules (a complete reference).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The Sponsor Licence flow — the 5-phase lifecycle and the 18-stage application pipeline.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The 8-step application wizard you complete in the portal.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CoS (Certificate of Sponsorship) allocation after approval.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Sponsored-worker management, worker events and absences.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Ongoing compliance: documents, monthly review, reporting, right to work, change requests, linked entities and audit.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Finance, communication and where to get help.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2"/>
          <w:szCs w:val="32"/>
        </w:rPr>
        <w:t xml:space="preserve">Contents</w:t>
      </w:r>
    </w:p>
    <w:p>
      <w:pPr>
        <w:spacing w:after="120" w:line="276"/>
      </w:pPr>
      <w:r>
        <w:rPr>
          <w:i/>
          <w:iCs/>
          <w:color w:val="5A5A5A"/>
          <w:sz w:val="19"/>
          <w:szCs w:val="19"/>
        </w:rPr>
        <w:t xml:space="preserve">Right-click the table below and choose “Update Field” in Word to refresh page numbers.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2"/>
          <w:szCs w:val="32"/>
        </w:rPr>
        <w:t xml:space="preserve">1. Welcome to the Sponsor Portal</w:t>
      </w:r>
    </w:p>
    <w:p>
      <w:pPr>
        <w:spacing w:after="120" w:line="276"/>
      </w:pPr>
      <w:r>
        <w:t xml:space="preserve">A </w:t>
      </w:r>
      <w:r>
        <w:rPr>
          <w:b/>
          <w:bCs/>
        </w:rPr>
        <w:t xml:space="preserve">sponsor licence</w:t>
      </w:r>
      <w:r>
        <w:t xml:space="preserve"> allows your organisation to employ workers from outside the UK. Through this portal you apply for the licence, are allocated </w:t>
      </w:r>
      <w:r>
        <w:rPr>
          <w:b/>
          <w:bCs/>
        </w:rPr>
        <w:t xml:space="preserve">Certificates of Sponsorship (CoS)</w:t>
      </w:r>
      <w:r>
        <w:t xml:space="preserve">, onboard the workers you sponsor, and meet your ongoing </w:t>
      </w:r>
      <w:r>
        <w:rPr>
          <w:b/>
          <w:bCs/>
        </w:rPr>
        <w:t xml:space="preserve">compliance</w:t>
      </w:r>
      <w:r>
        <w:t xml:space="preserve"> duties to UK Visas &amp; Immigration (UKVI). A caseworker at the firm guides and reviews your application at every step.</w:t>
      </w:r>
    </w:p>
    <w:tbl>
      <w:tblPr>
        <w:tblW w:type="pct" w:w="100%"/>
        <w:tblBorders>
          <w:top w:val="single" w:color="1F7A8C" w:sz="2"/>
          <w:left w:val="single" w:color="1F7A8C" w:sz="16"/>
          <w:bottom w:val="single" w:color="1F7A8C" w:sz="2"/>
          <w:right w:val="single" w:color="1F7A8C" w:sz="2"/>
          <w:insideH w:val="none"/>
          <w:insideV w:val="none"/>
        </w:tblBorders>
      </w:tblPr>
      <w:tblGrid>
        <w:gridCol w:w="100"/>
      </w:tblGrid>
      <w:tr>
        <w:tc>
          <w:tcPr>
            <w:shd w:fill="EAF0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7A8C"/>
                <w:sz w:val="21"/>
                <w:szCs w:val="21"/>
              </w:rPr>
              <w:t xml:space="preserve">Your journey in one line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Onboard → build your licence application (8 sections) → upload documents &amp; pay → caseworker review → government pipeline → licence granted → request CoS → add sponsored workers → run ongoing compliance.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2E5496"/>
          <w:sz w:val="26"/>
          <w:szCs w:val="26"/>
        </w:rPr>
        <w:t xml:space="preserve">1.1 The five phases of the sponsor journey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At the highest level your organisation is always in one of five phases. This is the simplest way to see where you are overall.</w:t>
      </w:r>
    </w:p>
    <w:tbl>
      <w:tblPr>
        <w:tblW w:type="pct" w:w="100%"/>
        <w:tblBorders>
          <w:top w:val="single" w:color="C9D4E6" w:sz="4"/>
          <w:left w:val="single" w:color="C9D4E6" w:sz="4"/>
          <w:bottom w:val="single" w:color="C9D4E6" w:sz="4"/>
          <w:right w:val="single" w:color="C9D4E6" w:sz="4"/>
          <w:insideH w:val="single" w:color="DCE3EF" w:sz="2"/>
          <w:insideV w:val="single" w:color="DCE3E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18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pct" w:w="3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W w:type="pct" w:w="4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Statuses within it</w:t>
            </w:r>
          </w:p>
        </w:tc>
      </w:tr>
      <w:t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Phase 1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Sponsor Onboarding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Sponsor account created and first login completed.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• onboarding — account created, welcome email sent, not yet logged in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• profile_completed — first-login password change done and company profile filled</w:t>
            </w:r>
          </w:p>
        </w:tc>
      </w:tr>
      <w:tr>
        <w:tc>
          <w:tcPr>
            <w:tcW w:type="pct" w:w="8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Phase 2</w:t>
            </w:r>
          </w:p>
        </w:tc>
        <w:tc>
          <w:tcPr>
            <w:tcW w:type="pct" w:w="18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Licence Application</w:t>
            </w:r>
          </w:p>
        </w:tc>
        <w:tc>
          <w:tcPr>
            <w:tcW w:type="pct" w:w="3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Full UKVI application form (8 sections) prepared.</w:t>
            </w:r>
          </w:p>
        </w:tc>
        <w:tc>
          <w:tcPr>
            <w:tcW w:type="pct" w:w="4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• application_draft — wizard started, sponsor still filling sections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• application_submitted — all 8 sections completed &amp; submitted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• pending_review — received by platform, queued for caseworker review</w:t>
            </w:r>
          </w:p>
        </w:tc>
      </w:tr>
      <w:t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Phase 3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Licence Review &amp; Approval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Internal caseworker review → government pipeline → UKVI decision.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• info_requested — caseworker/admin asked for more documents/clarifications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• info_received — sponsor responded; re-enters review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• licence_granted — UKVI approved; SLN issued (terminal)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• licence_rejected — UKVI refused / admin closed as rejected (terminal)</w:t>
            </w:r>
          </w:p>
        </w:tc>
      </w:tr>
      <w:tr>
        <w:tc>
          <w:tcPr>
            <w:tcW w:type="pct" w:w="8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Phase 4</w:t>
            </w:r>
          </w:p>
        </w:tc>
        <w:tc>
          <w:tcPr>
            <w:tcW w:type="pct" w:w="18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CoS Allocation</w:t>
            </w:r>
          </w:p>
        </w:tc>
        <w:tc>
          <w:tcPr>
            <w:tcW w:type="pct" w:w="3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Certificate of Sponsorship allocation requests and approvals.</w:t>
            </w:r>
          </w:p>
        </w:tc>
        <w:tc>
          <w:tcPr>
            <w:tcW w:type="pct" w:w="4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• cos_pending — allocation request submitted; awaiting review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• cos_approved — admin approved; CoS available for worker assignment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• cos_rejected — allocation request rejected (terminal)</w:t>
            </w:r>
          </w:p>
        </w:tc>
      </w:tr>
      <w:tr>
        <w:tc>
          <w:tcPr>
            <w:tcW w:type="pct" w:w="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Phase 5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Sponsored Worker Management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Sponsored worker cases and ongoing compliance.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• visa_pending — worker added &amp; immigration case created; visa in progress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• visa_granted — visa granted; worker authorised to start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• visa_rejected — visa refused by UKVI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• employee_onboarded — employment started; right-to-work recorded; onboarding complete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9C6A00" w:sz="2"/>
          <w:left w:val="single" w:color="9C6A00" w:sz="16"/>
          <w:bottom w:val="single" w:color="9C6A00" w:sz="2"/>
          <w:right w:val="single" w:color="9C6A00" w:sz="2"/>
          <w:insideH w:val="none"/>
          <w:insideV w:val="none"/>
        </w:tblBorders>
      </w:tblPr>
      <w:tblGrid>
        <w:gridCol w:w="100"/>
      </w:tblGrid>
      <w:tr>
        <w:tc>
          <w:tcPr>
            <w:shd w:fill="FBEED7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9C6A00"/>
                <w:sz w:val="21"/>
                <w:szCs w:val="21"/>
              </w:rPr>
              <w:t xml:space="preserve">Where the licence meets the visa process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Phase 4 gives you Certificates of Sponsorship. In Phase 5, every worker you add becomes an immigration case that runs through the firm's 16-step visa process — that's where your sponsorship and your workers' visas connect.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2"/>
          <w:szCs w:val="32"/>
        </w:rPr>
        <w:t xml:space="preserve">2. Sponsor Portal — Complete Module Reference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Every module available to you in the Sponsor Portal, grouped exactly as they appear in your left-hand menu.</w:t>
      </w:r>
    </w:p>
    <w:p>
      <w:pPr>
        <w:pStyle w:val="Heading3"/>
        <w:spacing w:after="80" w:before="200"/>
      </w:pPr>
      <w:r>
        <w:rPr>
          <w:b/>
          <w:bCs/>
          <w:color w:val="1F7A8C"/>
          <w:sz w:val="23"/>
          <w:szCs w:val="23"/>
        </w:rPr>
        <w:t xml:space="preserve">Home</w:t>
      </w:r>
    </w:p>
    <w:tbl>
      <w:tblPr>
        <w:tblW w:type="pct" w:w="100%"/>
        <w:tblBorders>
          <w:top w:val="single" w:color="C9D4E6" w:sz="4"/>
          <w:left w:val="single" w:color="C9D4E6" w:sz="4"/>
          <w:bottom w:val="single" w:color="C9D4E6" w:sz="4"/>
          <w:right w:val="single" w:color="C9D4E6" w:sz="4"/>
          <w:insideH w:val="single" w:color="DCE3EF" w:sz="2"/>
          <w:insideV w:val="single" w:color="DCE3E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pct" w:w="2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Portal route</w:t>
            </w:r>
          </w:p>
        </w:tc>
        <w:tc>
          <w:tcPr>
            <w:tcW w:type="pct" w:w="5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it's for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Dashboard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/business/dashboard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Your home screen — licence status, compliance alerts, upcoming reporting deadlines, worker counts and anything awaiting your response.</w:t>
            </w:r>
          </w:p>
        </w:tc>
      </w:tr>
    </w:tbl>
    <w:p>
      <w:pPr>
        <w:spacing w:after="70"/>
      </w:pPr>
    </w:p>
    <w:p>
      <w:pPr>
        <w:pStyle w:val="Heading3"/>
        <w:spacing w:after="80" w:before="200"/>
      </w:pPr>
      <w:r>
        <w:rPr>
          <w:b/>
          <w:bCs/>
          <w:color w:val="1F7A8C"/>
          <w:sz w:val="23"/>
          <w:szCs w:val="23"/>
        </w:rPr>
        <w:t xml:space="preserve">Organisation</w:t>
      </w:r>
    </w:p>
    <w:tbl>
      <w:tblPr>
        <w:tblW w:type="pct" w:w="100%"/>
        <w:tblBorders>
          <w:top w:val="single" w:color="C9D4E6" w:sz="4"/>
          <w:left w:val="single" w:color="C9D4E6" w:sz="4"/>
          <w:bottom w:val="single" w:color="C9D4E6" w:sz="4"/>
          <w:right w:val="single" w:color="C9D4E6" w:sz="4"/>
          <w:insideH w:val="single" w:color="DCE3EF" w:sz="2"/>
          <w:insideV w:val="single" w:color="DCE3E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pct" w:w="2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Portal route</w:t>
            </w:r>
          </w:p>
        </w:tc>
        <w:tc>
          <w:tcPr>
            <w:tcW w:type="pct" w:w="5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it's for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Business Profile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/business/profile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Your company profile: trading names, addresses, sector, Companies House number and HMRC/PAYE references. This data feeds the licence application.</w:t>
            </w:r>
          </w:p>
        </w:tc>
      </w:tr>
      <w:tr>
        <w:tc>
          <w:tcPr>
            <w:tcW w:type="pct" w:w="22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Key Personnel</w:t>
            </w:r>
          </w:p>
        </w:tc>
        <w:tc>
          <w:tcPr>
            <w:tcW w:type="pct" w:w="2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/business/personnel</w:t>
            </w:r>
          </w:p>
        </w:tc>
        <w:tc>
          <w:tcPr>
            <w:tcW w:type="pct" w:w="5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Appoint and manage the three UKVI roles: Authorising Officer, Key Contact and Level 1 User(s).</w:t>
            </w:r>
          </w:p>
        </w:tc>
      </w:tr>
    </w:tbl>
    <w:p>
      <w:pPr>
        <w:spacing w:after="70"/>
      </w:pPr>
    </w:p>
    <w:p>
      <w:pPr>
        <w:pStyle w:val="Heading3"/>
        <w:spacing w:after="80" w:before="200"/>
      </w:pPr>
      <w:r>
        <w:rPr>
          <w:b/>
          <w:bCs/>
          <w:color w:val="1F7A8C"/>
          <w:sz w:val="23"/>
          <w:szCs w:val="23"/>
        </w:rPr>
        <w:t xml:space="preserve">Sponsorship &amp; HR</w:t>
      </w:r>
    </w:p>
    <w:tbl>
      <w:tblPr>
        <w:tblW w:type="pct" w:w="100%"/>
        <w:tblBorders>
          <w:top w:val="single" w:color="C9D4E6" w:sz="4"/>
          <w:left w:val="single" w:color="C9D4E6" w:sz="4"/>
          <w:bottom w:val="single" w:color="C9D4E6" w:sz="4"/>
          <w:right w:val="single" w:color="C9D4E6" w:sz="4"/>
          <w:insideH w:val="single" w:color="DCE3EF" w:sz="2"/>
          <w:insideV w:val="single" w:color="DCE3E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pct" w:w="2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Portal route</w:t>
            </w:r>
          </w:p>
        </w:tc>
        <w:tc>
          <w:tcPr>
            <w:tcW w:type="pct" w:w="5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it's for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Licence Management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/business/licence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Overview of your licence application(s): application history, current status, CoS allocation insights and quick renewal.</w:t>
            </w:r>
          </w:p>
        </w:tc>
      </w:tr>
      <w:tr>
        <w:tc>
          <w:tcPr>
            <w:tcW w:type="pct" w:w="22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Licence Tracking</w:t>
            </w:r>
          </w:p>
        </w:tc>
        <w:tc>
          <w:tcPr>
            <w:tcW w:type="pct" w:w="2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/business/licence-process</w:t>
            </w:r>
          </w:p>
        </w:tc>
        <w:tc>
          <w:tcPr>
            <w:tcW w:type="pct" w:w="5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Track the live government-portal pipeline (SMS registration, portal credentials, form completion, submission) and confirm the steps that need you.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Licence Documents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/business/licence-documents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Upload and manage the mandatory Home Office documents required for your licence; see each document's verification status.</w:t>
            </w:r>
          </w:p>
        </w:tc>
      </w:tr>
      <w:tr>
        <w:tc>
          <w:tcPr>
            <w:tcW w:type="pct" w:w="22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CoS Allocation</w:t>
            </w:r>
          </w:p>
        </w:tc>
        <w:tc>
          <w:tcPr>
            <w:tcW w:type="pct" w:w="2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/business/cosallocation</w:t>
            </w:r>
          </w:p>
        </w:tc>
        <w:tc>
          <w:tcPr>
            <w:tcW w:type="pct" w:w="5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Request Certificates of Sponsorship, view your allocation, download allocation reports and track approvals.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Sponsored Workers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/business/workers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Add and manage the workers you sponsor; capture their personal, passport and job details and assign a CoS. (Add form: /business/sponsored-workers.)</w:t>
            </w:r>
          </w:p>
        </w:tc>
      </w:tr>
      <w:tr>
        <w:tc>
          <w:tcPr>
            <w:tcW w:type="pct" w:w="22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Employee Records</w:t>
            </w:r>
          </w:p>
        </w:tc>
        <w:tc>
          <w:tcPr>
            <w:tcW w:type="pct" w:w="2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/business/employee-records</w:t>
            </w:r>
          </w:p>
        </w:tc>
        <w:tc>
          <w:tcPr>
            <w:tcW w:type="pct" w:w="5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The employment records of your sponsored workers, kept for compliance.</w:t>
            </w:r>
          </w:p>
        </w:tc>
      </w:tr>
    </w:tbl>
    <w:p>
      <w:pPr>
        <w:spacing w:after="70"/>
      </w:pPr>
    </w:p>
    <w:p>
      <w:pPr>
        <w:pStyle w:val="Heading3"/>
        <w:spacing w:after="80" w:before="200"/>
      </w:pPr>
      <w:r>
        <w:rPr>
          <w:b/>
          <w:bCs/>
          <w:color w:val="1F7A8C"/>
          <w:sz w:val="23"/>
          <w:szCs w:val="23"/>
        </w:rPr>
        <w:t xml:space="preserve">Compliance</w:t>
      </w:r>
    </w:p>
    <w:tbl>
      <w:tblPr>
        <w:tblW w:type="pct" w:w="100%"/>
        <w:tblBorders>
          <w:top w:val="single" w:color="C9D4E6" w:sz="4"/>
          <w:left w:val="single" w:color="C9D4E6" w:sz="4"/>
          <w:bottom w:val="single" w:color="C9D4E6" w:sz="4"/>
          <w:right w:val="single" w:color="C9D4E6" w:sz="4"/>
          <w:insideH w:val="single" w:color="DCE3EF" w:sz="2"/>
          <w:insideV w:val="single" w:color="DCE3E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pct" w:w="2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Portal route</w:t>
            </w:r>
          </w:p>
        </w:tc>
        <w:tc>
          <w:tcPr>
            <w:tcW w:type="pct" w:w="5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it's for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Compliance Dashboard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/business/compliance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Your overall compliance position with alerts and upcoming reporting deadlines.</w:t>
            </w:r>
          </w:p>
        </w:tc>
      </w:tr>
      <w:tr>
        <w:tc>
          <w:tcPr>
            <w:tcW w:type="pct" w:w="22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Compliance Documents</w:t>
            </w:r>
          </w:p>
        </w:tc>
        <w:tc>
          <w:tcPr>
            <w:tcW w:type="pct" w:w="2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/business/compliance-documents</w:t>
            </w:r>
          </w:p>
        </w:tc>
        <w:tc>
          <w:tcPr>
            <w:tcW w:type="pct" w:w="5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Upload, submit and track compliance documents through the review cycle.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Reporting Obligations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/business/reporting-obligations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Your UKVI reporting duties and their deadlines — worker start dates, changes of circumstance and absences that must be reported to the SMS.</w:t>
            </w:r>
          </w:p>
        </w:tc>
      </w:tr>
      <w:tr>
        <w:tc>
          <w:tcPr>
            <w:tcW w:type="pct" w:w="22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Review Status</w:t>
            </w:r>
          </w:p>
        </w:tc>
        <w:tc>
          <w:tcPr>
            <w:tcW w:type="pct" w:w="2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/business/compliance-review</w:t>
            </w:r>
          </w:p>
        </w:tc>
        <w:tc>
          <w:tcPr>
            <w:tcW w:type="pct" w:w="5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Track the review status of your submissions and respond to any information requests from the caseworker.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Monthly Review  (Section N)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/business/monthly-compliance-review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Your monthly compliance snapshot: worker counts, risk breakdown, visa-expiry alerts and missing documents.</w:t>
            </w:r>
          </w:p>
        </w:tc>
      </w:tr>
      <w:tr>
        <w:tc>
          <w:tcPr>
            <w:tcW w:type="pct" w:w="22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Linked Entities  (Section K)</w:t>
            </w:r>
          </w:p>
        </w:tc>
        <w:tc>
          <w:tcPr>
            <w:tcW w:type="pct" w:w="2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/business/linked-entities</w:t>
            </w:r>
          </w:p>
        </w:tc>
        <w:tc>
          <w:tcPr>
            <w:tcW w:type="pct" w:w="5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Multi-company handling — link and manage related group or branch entities under your sponsorship.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Right to Work  (Section H)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/business/right-to-work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Record right-to-work checks for your workers, with reference numbers, evidence and follow-up dates.</w:t>
            </w:r>
          </w:p>
        </w:tc>
      </w:tr>
      <w:tr>
        <w:tc>
          <w:tcPr>
            <w:tcW w:type="pct" w:w="22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Audit Log  (Section O)</w:t>
            </w:r>
          </w:p>
        </w:tc>
        <w:tc>
          <w:tcPr>
            <w:tcW w:type="pct" w:w="2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/business/audit-log</w:t>
            </w:r>
          </w:p>
        </w:tc>
        <w:tc>
          <w:tcPr>
            <w:tcW w:type="pct" w:w="5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 record of the actions taken on your sponsor account, for your own assurance.</w:t>
            </w:r>
          </w:p>
        </w:tc>
      </w:tr>
    </w:tbl>
    <w:p>
      <w:pPr>
        <w:spacing w:after="70"/>
      </w:pPr>
    </w:p>
    <w:p>
      <w:pPr>
        <w:pStyle w:val="Heading3"/>
        <w:spacing w:after="80" w:before="200"/>
      </w:pPr>
      <w:r>
        <w:rPr>
          <w:b/>
          <w:bCs/>
          <w:color w:val="1F7A8C"/>
          <w:sz w:val="23"/>
          <w:szCs w:val="23"/>
        </w:rPr>
        <w:t xml:space="preserve">Finance</w:t>
      </w:r>
    </w:p>
    <w:tbl>
      <w:tblPr>
        <w:tblW w:type="pct" w:w="100%"/>
        <w:tblBorders>
          <w:top w:val="single" w:color="C9D4E6" w:sz="4"/>
          <w:left w:val="single" w:color="C9D4E6" w:sz="4"/>
          <w:bottom w:val="single" w:color="C9D4E6" w:sz="4"/>
          <w:right w:val="single" w:color="C9D4E6" w:sz="4"/>
          <w:insideH w:val="single" w:color="DCE3EF" w:sz="2"/>
          <w:insideV w:val="single" w:color="DCE3E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pct" w:w="2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Portal route</w:t>
            </w:r>
          </w:p>
        </w:tc>
        <w:tc>
          <w:tcPr>
            <w:tcW w:type="pct" w:w="5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it's for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Invoices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/business/invoices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View and download your invoices.</w:t>
            </w:r>
          </w:p>
        </w:tc>
      </w:tr>
      <w:tr>
        <w:tc>
          <w:tcPr>
            <w:tcW w:type="pct" w:w="22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Payments</w:t>
            </w:r>
          </w:p>
        </w:tc>
        <w:tc>
          <w:tcPr>
            <w:tcW w:type="pct" w:w="2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/business/payment</w:t>
            </w:r>
          </w:p>
        </w:tc>
        <w:tc>
          <w:tcPr>
            <w:tcW w:type="pct" w:w="5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Pay your licence fee and other charges, and view your payment history.</w:t>
            </w:r>
          </w:p>
        </w:tc>
      </w:tr>
    </w:tbl>
    <w:p>
      <w:pPr>
        <w:spacing w:after="70"/>
      </w:pPr>
    </w:p>
    <w:p>
      <w:pPr>
        <w:pStyle w:val="Heading3"/>
        <w:spacing w:after="80" w:before="200"/>
      </w:pPr>
      <w:r>
        <w:rPr>
          <w:b/>
          <w:bCs/>
          <w:color w:val="1F7A8C"/>
          <w:sz w:val="23"/>
          <w:szCs w:val="23"/>
        </w:rPr>
        <w:t xml:space="preserve">Communication</w:t>
      </w:r>
    </w:p>
    <w:tbl>
      <w:tblPr>
        <w:tblW w:type="pct" w:w="100%"/>
        <w:tblBorders>
          <w:top w:val="single" w:color="C9D4E6" w:sz="4"/>
          <w:left w:val="single" w:color="C9D4E6" w:sz="4"/>
          <w:bottom w:val="single" w:color="C9D4E6" w:sz="4"/>
          <w:right w:val="single" w:color="C9D4E6" w:sz="4"/>
          <w:insideH w:val="single" w:color="DCE3EF" w:sz="2"/>
          <w:insideV w:val="single" w:color="DCE3E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pct" w:w="2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Portal route</w:t>
            </w:r>
          </w:p>
        </w:tc>
        <w:tc>
          <w:tcPr>
            <w:tcW w:type="pct" w:w="5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it's for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Messages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/business/messages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Message your caseworker and the firm directly.</w:t>
            </w:r>
          </w:p>
        </w:tc>
      </w:tr>
      <w:tr>
        <w:tc>
          <w:tcPr>
            <w:tcW w:type="pct" w:w="22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Calendar</w:t>
            </w:r>
          </w:p>
        </w:tc>
        <w:tc>
          <w:tcPr>
            <w:tcW w:type="pct" w:w="2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/business/calendar</w:t>
            </w:r>
          </w:p>
        </w:tc>
        <w:tc>
          <w:tcPr>
            <w:tcW w:type="pct" w:w="5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Your appointments and key dates.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Notifications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/business/notifications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Alerts about your licence, CoS, compliance and workers.</w:t>
            </w:r>
          </w:p>
        </w:tc>
      </w:tr>
    </w:tbl>
    <w:p>
      <w:pPr>
        <w:spacing w:after="70"/>
      </w:pPr>
    </w:p>
    <w:p>
      <w:pPr>
        <w:pStyle w:val="Heading3"/>
        <w:spacing w:after="80" w:before="200"/>
      </w:pPr>
      <w:r>
        <w:rPr>
          <w:b/>
          <w:bCs/>
          <w:color w:val="1F7A8C"/>
          <w:sz w:val="23"/>
          <w:szCs w:val="23"/>
        </w:rPr>
        <w:t xml:space="preserve">System</w:t>
      </w:r>
    </w:p>
    <w:tbl>
      <w:tblPr>
        <w:tblW w:type="pct" w:w="100%"/>
        <w:tblBorders>
          <w:top w:val="single" w:color="C9D4E6" w:sz="4"/>
          <w:left w:val="single" w:color="C9D4E6" w:sz="4"/>
          <w:bottom w:val="single" w:color="C9D4E6" w:sz="4"/>
          <w:right w:val="single" w:color="C9D4E6" w:sz="4"/>
          <w:insideH w:val="single" w:color="DCE3EF" w:sz="2"/>
          <w:insideV w:val="single" w:color="DCE3E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pct" w:w="2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Portal route</w:t>
            </w:r>
          </w:p>
        </w:tc>
        <w:tc>
          <w:tcPr>
            <w:tcW w:type="pct" w:w="5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it's for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Reports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/business/reports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Reports across your sponsorship and compliance activity.</w:t>
            </w:r>
          </w:p>
        </w:tc>
      </w:tr>
      <w:tr>
        <w:tc>
          <w:tcPr>
            <w:tcW w:type="pct" w:w="22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Settings</w:t>
            </w:r>
          </w:p>
        </w:tc>
        <w:tc>
          <w:tcPr>
            <w:tcW w:type="pct" w:w="2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/business/settings</w:t>
            </w:r>
          </w:p>
        </w:tc>
        <w:tc>
          <w:tcPr>
            <w:tcW w:type="pct" w:w="5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Account and portal settings.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2"/>
          <w:szCs w:val="32"/>
        </w:rPr>
        <w:t xml:space="preserve">3. The Sponsor Licence Application Flow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This is the detailed pipeline your licence application travels through. It has 18 stages: stages 1–8 are the pre-submission wizard you complete, 9–10 are intake (information form + document verification), 11–16 are the government-portal pipeline, and 17–18 are submission and the UKVI decision.</w:t>
      </w:r>
    </w:p>
    <w:p>
      <w:pPr>
        <w:pStyle w:val="Heading2"/>
        <w:spacing w:after="110" w:before="260"/>
      </w:pPr>
      <w:r>
        <w:rPr>
          <w:b/>
          <w:bCs/>
          <w:color w:val="2E5496"/>
          <w:sz w:val="26"/>
          <w:szCs w:val="26"/>
        </w:rPr>
        <w:t xml:space="preserve">3.1 The 8-step application wizard (what you fill in)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In the portal you build your application through an 8-step wizard, saved as a draft as you go.</w:t>
      </w:r>
    </w:p>
    <w:tbl>
      <w:tblPr>
        <w:tblW w:type="pct" w:w="100%"/>
        <w:tblBorders>
          <w:top w:val="single" w:color="C9D4E6" w:sz="4"/>
          <w:left w:val="single" w:color="C9D4E6" w:sz="4"/>
          <w:bottom w:val="single" w:color="C9D4E6" w:sz="4"/>
          <w:right w:val="single" w:color="C9D4E6" w:sz="4"/>
          <w:insideH w:val="single" w:color="DCE3EF" w:sz="2"/>
          <w:insideV w:val="single" w:color="DCE3E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pct" w:w="22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pct" w:w="68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you provide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Step 1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Routes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Select sponsorship route(s) (e.g. Skilled Worker) and declare any existing SLN.</w:t>
            </w:r>
          </w:p>
        </w:tc>
      </w:tr>
      <w:tr>
        <w:tc>
          <w:tcPr>
            <w:tcW w:type="pct" w:w="1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Step 2</w:t>
            </w:r>
          </w:p>
        </w:tc>
        <w:tc>
          <w:tcPr>
            <w:tcW w:type="pct" w:w="22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Organisation</w:t>
            </w:r>
          </w:p>
        </w:tc>
        <w:tc>
          <w:tcPr>
            <w:tcW w:type="pct" w:w="68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Organisation profile: trading names, addresses, sector, Companies House, HMRC/PAYE.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Step 3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CoS Requirements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Number of CoS needed with business justification (SOC code, salary, vacancy).</w:t>
            </w:r>
          </w:p>
        </w:tc>
      </w:tr>
      <w:tr>
        <w:tc>
          <w:tcPr>
            <w:tcW w:type="pct" w:w="1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Step 4</w:t>
            </w:r>
          </w:p>
        </w:tc>
        <w:tc>
          <w:tcPr>
            <w:tcW w:type="pct" w:w="22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Appendix Documents</w:t>
            </w:r>
          </w:p>
        </w:tc>
        <w:tc>
          <w:tcPr>
            <w:tcW w:type="pct" w:w="68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Upload mandatory Appendix A supporting evidence.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Step 5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Authorising Officer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Nominate the Authorising Officer (senior, UK-based, clean record).</w:t>
            </w:r>
          </w:p>
        </w:tc>
      </w:tr>
      <w:tr>
        <w:tc>
          <w:tcPr>
            <w:tcW w:type="pct" w:w="1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Step 6</w:t>
            </w:r>
          </w:p>
        </w:tc>
        <w:tc>
          <w:tcPr>
            <w:tcW w:type="pct" w:w="22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Key Contact</w:t>
            </w:r>
          </w:p>
        </w:tc>
        <w:tc>
          <w:tcPr>
            <w:tcW w:type="pct" w:w="68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Nominate the Key Contact (main liaison with UKVI/representative).</w:t>
            </w:r>
          </w:p>
        </w:tc>
      </w:tr>
      <w:t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Step 7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Level 1 Users</w:t>
            </w:r>
          </w:p>
        </w:tc>
        <w:tc>
          <w:tcPr>
            <w:tcW w:type="pct" w:w="6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Nominate Level 1 User(s) who will operate the SMS day-to-day.</w:t>
            </w:r>
          </w:p>
        </w:tc>
      </w:tr>
      <w:tr>
        <w:tc>
          <w:tcPr>
            <w:tcW w:type="pct" w:w="1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Step 8</w:t>
            </w:r>
          </w:p>
        </w:tc>
        <w:tc>
          <w:tcPr>
            <w:tcW w:type="pct" w:w="22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Declarations</w:t>
            </w:r>
          </w:p>
        </w:tc>
        <w:tc>
          <w:tcPr>
            <w:tcW w:type="pct" w:w="68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Confirm accuracy, complete representative/OISC declaration and submit.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2E5496" w:sz="2"/>
          <w:left w:val="single" w:color="2E5496" w:sz="16"/>
          <w:bottom w:val="single" w:color="2E5496" w:sz="2"/>
          <w:right w:val="single" w:color="2E5496" w:sz="2"/>
          <w:insideH w:val="none"/>
          <w:insideV w:val="none"/>
        </w:tblBorders>
      </w:tblPr>
      <w:tblGrid>
        <w:gridCol w:w="100"/>
      </w:tblGrid>
      <w:tr>
        <w:tc>
          <w:tcPr>
            <w:shd w:fill="EAF0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2E5496"/>
                <w:sz w:val="21"/>
                <w:szCs w:val="21"/>
              </w:rPr>
              <w:t xml:space="preserve">Application statuses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Draft → Submitted → Pending Review → (Information Requested ↔ Information Received) → Under Review → Licence Granted / Licence Rejected.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‘Licence Granted’ is the successful end state — it sets your Sponsor Licence Number (SLN) and issue/expiry dates and unlocks CoS allocation.</w:t>
            </w:r>
          </w:p>
        </w:tc>
      </w:tr>
    </w:tbl>
    <w:p>
      <w:r>
        <w:br w:type="page"/>
      </w:r>
    </w:p>
    <w:p>
      <w:pPr>
        <w:pStyle w:val="Heading2"/>
        <w:spacing w:after="110" w:before="260"/>
      </w:pPr>
      <w:r>
        <w:rPr>
          <w:b/>
          <w:bCs/>
          <w:color w:val="2E5496"/>
          <w:sz w:val="26"/>
          <w:szCs w:val="26"/>
        </w:rPr>
        <w:t xml:space="preserve">3.2 The 18-stage pipeline (with roles)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Each stage lists your task as the sponsor, plus what the caseworker and admin do — so you can see exactly where you're needed and who to expect action from.</w:t>
      </w:r>
    </w:p>
    <w:p>
      <w:pPr>
        <w:pStyle w:val="Heading3"/>
        <w:spacing w:after="80" w:before="200"/>
      </w:pPr>
      <w:r>
        <w:rPr>
          <w:b/>
          <w:bCs/>
          <w:color w:val="1F7A8C"/>
          <w:sz w:val="23"/>
          <w:szCs w:val="23"/>
        </w:rPr>
        <w:t xml:space="preserve">Stages 1–8 — Pre-submission wizard</w:t>
      </w:r>
    </w:p>
    <w:tbl>
      <w:tblPr>
        <w:tblW w:type="pct" w:w="100%"/>
        <w:tblBorders>
          <w:top w:val="single" w:color="C9D4E6" w:sz="4"/>
          <w:left w:val="single" w:color="C9D4E6" w:sz="4"/>
          <w:bottom w:val="single" w:color="C9D4E6" w:sz="4"/>
          <w:right w:val="single" w:color="C9D4E6" w:sz="4"/>
          <w:insideH w:val="single" w:color="DCE3EF" w:sz="2"/>
          <w:insideV w:val="single" w:color="DCE3E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 (Gov section)</w:t>
            </w:r>
          </w:p>
        </w:tc>
        <w:tc>
          <w:tcPr>
            <w:tcW w:type="pct" w:w="27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 (Sponsor)</w:t>
            </w:r>
          </w:p>
        </w:tc>
        <w:tc>
          <w:tcPr>
            <w:tcW w:type="pct" w:w="26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Caseworker</w:t>
            </w:r>
          </w:p>
        </w:tc>
        <w:tc>
          <w:tcPr>
            <w:tcW w:type="pct" w:w="23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pct" w:w="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Enquiry &amp; Onboarding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(Intake)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Submit a sponsor licence enquiry with basic business details.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Acknowledge the assignment and schedule an introductory call.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Triage the enquiry, open the application, and assign a caseworker.</w:t>
            </w:r>
          </w:p>
        </w:tc>
      </w:tr>
      <w:tr>
        <w:tc>
          <w:tcPr>
            <w:tcW w:type="pct" w:w="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pct" w:w="2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Licence Routes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(Section 1)</w:t>
            </w:r>
          </w:p>
        </w:tc>
        <w:tc>
          <w:tcPr>
            <w:tcW w:type="pct" w:w="27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Select the route(s) and declare any existing sponsor licence number (SLN).</w:t>
            </w:r>
          </w:p>
        </w:tc>
        <w:tc>
          <w:tcPr>
            <w:tcW w:type="pct" w:w="26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Advise on the correct route and confirm eligibility.</w:t>
            </w:r>
          </w:p>
        </w:tc>
        <w:tc>
          <w:tcPr>
            <w:tcW w:type="pct" w:w="23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Verify the selected routes are recorded against the application.</w:t>
            </w:r>
          </w:p>
        </w:tc>
      </w:tr>
      <w:tr>
        <w:tc>
          <w:tcPr>
            <w:tcW w:type="pct" w:w="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Organisation Details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(Section 2)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Provide organisation details, trading names, Companies House number and HMRC/PAYE references.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Verify the details against Companies House and HMRC records.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QA the captured organisation profile for completeness.</w:t>
            </w:r>
          </w:p>
        </w:tc>
      </w:tr>
      <w:tr>
        <w:tc>
          <w:tcPr>
            <w:tcW w:type="pct" w:w="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pct" w:w="2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CoS &amp; CAS Requirements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(Section 3)</w:t>
            </w:r>
          </w:p>
        </w:tc>
        <w:tc>
          <w:tcPr>
            <w:tcW w:type="pct" w:w="27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State the number of CoS required and provide detailed justification.</w:t>
            </w:r>
          </w:p>
        </w:tc>
        <w:tc>
          <w:tcPr>
            <w:tcW w:type="pct" w:w="26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Validate the SOC code, salary threshold and genuine vacancy.</w:t>
            </w:r>
          </w:p>
        </w:tc>
        <w:tc>
          <w:tcPr>
            <w:tcW w:type="pct" w:w="23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Approve the requested CoS allocation.</w:t>
            </w:r>
          </w:p>
        </w:tc>
      </w:tr>
      <w:tr>
        <w:tc>
          <w:tcPr>
            <w:tcW w:type="pct" w:w="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Supporting Documents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(Section 4)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Upload the required Appendix A documents.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Review each document and request any missing evidence.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Sign off the document pack as complete.</w:t>
            </w:r>
          </w:p>
        </w:tc>
      </w:tr>
      <w:tr>
        <w:tc>
          <w:tcPr>
            <w:tcW w:type="pct" w:w="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pct" w:w="2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Key Personnel &amp; Convictions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(Section 5)</w:t>
            </w:r>
          </w:p>
        </w:tc>
        <w:tc>
          <w:tcPr>
            <w:tcW w:type="pct" w:w="27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Nominate the Authorising Officer, Key Contact and Level 1 User; declare any convictions.</w:t>
            </w:r>
          </w:p>
        </w:tc>
        <w:tc>
          <w:tcPr>
            <w:tcW w:type="pct" w:w="26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Verify personnel are UK-based, hold an NI number and have a clean record.</w:t>
            </w:r>
          </w:p>
        </w:tc>
        <w:tc>
          <w:tcPr>
            <w:tcW w:type="pct" w:w="23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Approve the key personnel appointments.</w:t>
            </w:r>
          </w:p>
        </w:tc>
      </w:tr>
      <w:tr>
        <w:tc>
          <w:tcPr>
            <w:tcW w:type="pct" w:w="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Declarations &amp; Representative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(Section 6)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Confirm the application is true and authorise the representative.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Complete the representative / OISC declaration.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Counter-sign and approve the declarations.</w:t>
            </w:r>
          </w:p>
        </w:tc>
      </w:tr>
      <w:tr>
        <w:tc>
          <w:tcPr>
            <w:tcW w:type="pct" w:w="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pct" w:w="2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Payment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(Section 7)</w:t>
            </w:r>
          </w:p>
        </w:tc>
        <w:tc>
          <w:tcPr>
            <w:tcW w:type="pct" w:w="27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Pay the licence fee based on the sponsor size.</w:t>
            </w:r>
          </w:p>
        </w:tc>
        <w:tc>
          <w:tcPr>
            <w:tcW w:type="pct" w:w="26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Verify the payment has cleared before submission.</w:t>
            </w:r>
          </w:p>
        </w:tc>
        <w:tc>
          <w:tcPr>
            <w:tcW w:type="pct" w:w="23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Record the payment and issue a receipt.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b/>
          <w:bCs/>
          <w:color w:val="1F7A8C"/>
          <w:sz w:val="23"/>
          <w:szCs w:val="23"/>
        </w:rPr>
        <w:t xml:space="preserve">Stages 9–10 — Intake (information form + document verification)</w:t>
      </w:r>
    </w:p>
    <w:tbl>
      <w:tblPr>
        <w:tblW w:type="pct" w:w="100%"/>
        <w:tblBorders>
          <w:top w:val="single" w:color="C9D4E6" w:sz="4"/>
          <w:left w:val="single" w:color="C9D4E6" w:sz="4"/>
          <w:bottom w:val="single" w:color="C9D4E6" w:sz="4"/>
          <w:right w:val="single" w:color="C9D4E6" w:sz="4"/>
          <w:insideH w:val="single" w:color="DCE3EF" w:sz="2"/>
          <w:insideV w:val="single" w:color="DCE3E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 (Gov section)</w:t>
            </w:r>
          </w:p>
        </w:tc>
        <w:tc>
          <w:tcPr>
            <w:tcW w:type="pct" w:w="27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 (Sponsor)</w:t>
            </w:r>
          </w:p>
        </w:tc>
        <w:tc>
          <w:tcPr>
            <w:tcW w:type="pct" w:w="26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Caseworker</w:t>
            </w:r>
          </w:p>
        </w:tc>
        <w:tc>
          <w:tcPr>
            <w:tcW w:type="pct" w:w="23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pct" w:w="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Sponsor Information Form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(Intake)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Complete the 12-field Sponsor Information Form.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Review the completed information form for accuracy before progressing to document verification.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Confirm the information form has been reviewed and approved by the caseworker.</w:t>
            </w:r>
          </w:p>
        </w:tc>
      </w:tr>
      <w:tr>
        <w:tc>
          <w:tcPr>
            <w:tcW w:type="pct" w:w="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pct" w:w="2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Document Collection &amp; Verification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(Intake)</w:t>
            </w:r>
          </w:p>
        </w:tc>
        <w:tc>
          <w:tcPr>
            <w:tcW w:type="pct" w:w="27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Upload all mandatory documents (Employer's Liability Insurance, Certificate of Incorporation, PAYE registration, bank statements, premises evidence, identity documents).</w:t>
            </w:r>
          </w:p>
        </w:tc>
        <w:tc>
          <w:tcPr>
            <w:tcW w:type="pct" w:w="26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Verify each uploaded document meets Home Office requirements; all must reach 'Verified' before Government Registration.</w:t>
            </w:r>
          </w:p>
        </w:tc>
        <w:tc>
          <w:tcPr>
            <w:tcW w:type="pct" w:w="23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Confirm all mandatory documents verified and intake stage complete.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3"/>
        <w:spacing w:after="80" w:before="200"/>
      </w:pPr>
      <w:r>
        <w:rPr>
          <w:b/>
          <w:bCs/>
          <w:color w:val="1F7A8C"/>
          <w:sz w:val="23"/>
          <w:szCs w:val="23"/>
        </w:rPr>
        <w:t xml:space="preserve">Stages 11–16 — Government processing pipeline</w:t>
      </w:r>
    </w:p>
    <w:tbl>
      <w:tblPr>
        <w:tblW w:type="pct" w:w="100%"/>
        <w:tblBorders>
          <w:top w:val="single" w:color="C9D4E6" w:sz="4"/>
          <w:left w:val="single" w:color="C9D4E6" w:sz="4"/>
          <w:bottom w:val="single" w:color="C9D4E6" w:sz="4"/>
          <w:right w:val="single" w:color="C9D4E6" w:sz="4"/>
          <w:insideH w:val="single" w:color="DCE3EF" w:sz="2"/>
          <w:insideV w:val="single" w:color="DCE3E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 (Gov section)</w:t>
            </w:r>
          </w:p>
        </w:tc>
        <w:tc>
          <w:tcPr>
            <w:tcW w:type="pct" w:w="27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 (Sponsor)</w:t>
            </w:r>
          </w:p>
        </w:tc>
        <w:tc>
          <w:tcPr>
            <w:tcW w:type="pct" w:w="26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Caseworker</w:t>
            </w:r>
          </w:p>
        </w:tc>
        <w:tc>
          <w:tcPr>
            <w:tcW w:type="pct" w:w="23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pct" w:w="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Sponsor Information Provision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(Government Prep)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Confirm all details, personnel and documents are accurate before portal submission.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Validate completeness of the information pack; confirm readiness for portal entry.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Authorise the information pack for government portal submission.</w:t>
            </w:r>
          </w:p>
        </w:tc>
      </w:tr>
      <w:tr>
        <w:tc>
          <w:tcPr>
            <w:tcW w:type="pct" w:w="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pct" w:w="2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Government SMS Registration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(Government Prep)</w:t>
            </w:r>
          </w:p>
        </w:tc>
        <w:tc>
          <w:tcPr>
            <w:tcW w:type="pct" w:w="27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Await confirmation your organisation has been registered on the UKVI SMS.</w:t>
            </w:r>
          </w:p>
        </w:tc>
        <w:tc>
          <w:tcPr>
            <w:tcW w:type="pct" w:w="26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Register the sponsor on the SMS portal; obtain SMS username and registration reference.</w:t>
            </w:r>
          </w:p>
        </w:tc>
        <w:tc>
          <w:tcPr>
            <w:tcW w:type="pct" w:w="23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Verify the SMS registration details and record the reference number.</w:t>
            </w:r>
          </w:p>
        </w:tc>
      </w:tr>
      <w:tr>
        <w:tc>
          <w:tcPr>
            <w:tcW w:type="pct" w:w="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Sponsor Portal Onboarding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(Government Prep)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Log in to the UKVI SMS using the credentials provided and confirm access.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Guide the sponsor through SMS login; confirm they can access their account.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Record that the sponsor has been successfully onboarded to the SMS portal.</w:t>
            </w:r>
          </w:p>
        </w:tc>
      </w:tr>
      <w:tr>
        <w:tc>
          <w:tcPr>
            <w:tcW w:type="pct" w:w="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pct" w:w="2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Government Portal Credentials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(Government Application)</w:t>
            </w:r>
          </w:p>
        </w:tc>
        <w:tc>
          <w:tcPr>
            <w:tcW w:type="pct" w:w="27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Receive and confirm receipt of the UKVI online application portal credentials.</w:t>
            </w:r>
          </w:p>
        </w:tc>
        <w:tc>
          <w:tcPr>
            <w:tcW w:type="pct" w:w="26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Generate the UKVI portal user ID and password; share securely with the sponsor.</w:t>
            </w:r>
          </w:p>
        </w:tc>
        <w:tc>
          <w:tcPr>
            <w:tcW w:type="pct" w:w="23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Confirm credentials generated and securely transmitted.</w:t>
            </w:r>
          </w:p>
        </w:tc>
      </w:tr>
      <w:tr>
        <w:tc>
          <w:tcPr>
            <w:tcW w:type="pct" w:w="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Government Application Forms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(Government Application)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Log in to the UKVI portal and complete the online application forms.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Review and verify all form entries; ensure declarations and data are correct.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Carry out a final QA check of the completed government application forms.</w:t>
            </w:r>
          </w:p>
        </w:tc>
      </w:tr>
      <w:tr>
        <w:tc>
          <w:tcPr>
            <w:tcW w:type="pct" w:w="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pct" w:w="2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Government Submission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(Government Application)</w:t>
            </w:r>
          </w:p>
        </w:tc>
        <w:tc>
          <w:tcPr>
            <w:tcW w:type="pct" w:w="27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Confirm submission and note the government submission reference number.</w:t>
            </w:r>
          </w:p>
        </w:tc>
        <w:tc>
          <w:tcPr>
            <w:tcW w:type="pct" w:w="26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Submit the completed application to UKVI; record the submission reference and date.</w:t>
            </w:r>
          </w:p>
        </w:tc>
        <w:tc>
          <w:tcPr>
            <w:tcW w:type="pct" w:w="23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Record the government submission reference, date and fee payment confirmation.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b/>
          <w:bCs/>
          <w:color w:val="1F7A8C"/>
          <w:sz w:val="23"/>
          <w:szCs w:val="23"/>
        </w:rPr>
        <w:t xml:space="preserve">Stages 17–18 — Submission &amp; outcome</w:t>
      </w:r>
    </w:p>
    <w:tbl>
      <w:tblPr>
        <w:tblW w:type="pct" w:w="100%"/>
        <w:tblBorders>
          <w:top w:val="single" w:color="C9D4E6" w:sz="4"/>
          <w:left w:val="single" w:color="C9D4E6" w:sz="4"/>
          <w:bottom w:val="single" w:color="C9D4E6" w:sz="4"/>
          <w:right w:val="single" w:color="C9D4E6" w:sz="4"/>
          <w:insideH w:val="single" w:color="DCE3EF" w:sz="2"/>
          <w:insideV w:val="single" w:color="DCE3E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2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 (Gov section)</w:t>
            </w:r>
          </w:p>
        </w:tc>
        <w:tc>
          <w:tcPr>
            <w:tcW w:type="pct" w:w="27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 (Sponsor)</w:t>
            </w:r>
          </w:p>
        </w:tc>
        <w:tc>
          <w:tcPr>
            <w:tcW w:type="pct" w:w="26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Caseworker</w:t>
            </w:r>
          </w:p>
        </w:tc>
        <w:tc>
          <w:tcPr>
            <w:tcW w:type="pct" w:w="23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pct" w:w="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17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Submission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(Section 8)</w:t>
            </w:r>
          </w:p>
        </w:tc>
        <w:tc>
          <w:tcPr>
            <w:tcW w:type="pct" w:w="2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Acknowledge that the application has been submitted.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Generate the submission sheet and submit to UKVI.</w:t>
            </w:r>
          </w:p>
        </w:tc>
        <w:tc>
          <w:tcPr>
            <w:tcW w:type="pct" w:w="2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Carry out a final review and authorise submission.</w:t>
            </w:r>
          </w:p>
        </w:tc>
      </w:tr>
      <w:tr>
        <w:tc>
          <w:tcPr>
            <w:tcW w:type="pct" w:w="4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18</w:t>
            </w:r>
          </w:p>
        </w:tc>
        <w:tc>
          <w:tcPr>
            <w:tcW w:type="pct" w:w="2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UKVI Decision &amp; Activation</w:t>
            </w:r>
          </w:p>
          <w:p>
            <w:pPr>
              <w:spacing w:after="24" w:before="0"/>
            </w:pPr>
            <w:r>
              <w:rPr>
                <w:color w:val="222222"/>
                <w:sz w:val="19"/>
                <w:szCs w:val="19"/>
              </w:rPr>
              <w:t xml:space="preserve">(Outcome)</w:t>
            </w:r>
          </w:p>
        </w:tc>
        <w:tc>
          <w:tcPr>
            <w:tcW w:type="pct" w:w="27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Receive the licence and begin assigning Certificates of Sponsorship.</w:t>
            </w:r>
          </w:p>
        </w:tc>
        <w:tc>
          <w:tcPr>
            <w:tcW w:type="pct" w:w="26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Coordinate any UKVI requests for further information.</w:t>
            </w:r>
          </w:p>
        </w:tc>
        <w:tc>
          <w:tcPr>
            <w:tcW w:type="pct" w:w="23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Record the decision and activate the licence (SLN, issue/expiry dates).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2"/>
          <w:szCs w:val="32"/>
        </w:rPr>
        <w:t xml:space="preserve">4. CoS Allocation (after your licence is granted)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Once your licence is granted you request an allocation of Certificates of Sponsorship. Each request is reviewed by a caseworker and, on approval, becomes a permanent allocation you can assign to workers.</w:t>
      </w:r>
    </w:p>
    <w:p>
      <w:pPr>
        <w:pStyle w:val="Heading3"/>
        <w:spacing w:after="80" w:before="200"/>
      </w:pPr>
      <w:r>
        <w:rPr>
          <w:b/>
          <w:bCs/>
          <w:color w:val="1F7A8C"/>
          <w:sz w:val="23"/>
          <w:szCs w:val="23"/>
        </w:rPr>
        <w:t xml:space="preserve">Allocation statuses</w:t>
      </w:r>
    </w:p>
    <w:tbl>
      <w:tblPr>
        <w:tblW w:type="pct" w:w="100%"/>
        <w:tblBorders>
          <w:top w:val="single" w:color="C9D4E6" w:sz="4"/>
          <w:left w:val="single" w:color="C9D4E6" w:sz="4"/>
          <w:bottom w:val="single" w:color="C9D4E6" w:sz="4"/>
          <w:right w:val="single" w:color="C9D4E6" w:sz="4"/>
          <w:insideH w:val="single" w:color="DCE3EF" w:sz="2"/>
          <w:insideV w:val="single" w:color="DCE3E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pct" w:w="78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Pending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Sponsor has created the request; editable/deletable by sponsor while Pending or Under Review.</w:t>
            </w:r>
          </w:p>
        </w:tc>
      </w:tr>
      <w:tr>
        <w:tc>
          <w:tcPr>
            <w:tcW w:type="pct" w:w="22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Under Review</w:t>
            </w:r>
          </w:p>
        </w:tc>
        <w:tc>
          <w:tcPr>
            <w:tcW w:type="pct" w:w="78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Admin has assigned caseworker(s) to review.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Approved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Caseworker/admin approved; an approved amount is set.</w:t>
            </w:r>
          </w:p>
        </w:tc>
      </w:tr>
      <w:tr>
        <w:tc>
          <w:tcPr>
            <w:tcW w:type="pct" w:w="22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Allocated</w:t>
            </w:r>
          </w:p>
        </w:tc>
        <w:tc>
          <w:tcPr>
            <w:tcW w:type="pct" w:w="78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Terminal success state — a CosAllocationRecord is created (allocation no. EPIC-COS-{year}-{requestId}) and SponsorProfile.cosAllocation is incremented.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Rejected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Request denied; no allocation created.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1F7A8C"/>
          <w:sz w:val="23"/>
          <w:szCs w:val="23"/>
        </w:rPr>
        <w:t xml:space="preserve">How it flows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Sponsor creates a CoS request (states how many CoS and why) → Pending.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Admin assigns caseworker(s) → Under Review.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Caseworker reviews and either Approves (→ Approved → Allocated, immutable allocation record created) or Rejects (→ Rejected).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On approval the allocation is added to the sponsor's balance and CoS become available to assign to workers.</w:t>
      </w:r>
    </w:p>
    <w:p>
      <w:pPr>
        <w:spacing w:after="40"/>
      </w:pPr>
    </w:p>
    <w:tbl>
      <w:tblPr>
        <w:tblW w:type="pct" w:w="100%"/>
        <w:tblBorders>
          <w:top w:val="single" w:color="1F7A8C" w:sz="2"/>
          <w:left w:val="single" w:color="1F7A8C" w:sz="16"/>
          <w:bottom w:val="single" w:color="1F7A8C" w:sz="2"/>
          <w:right w:val="single" w:color="1F7A8C" w:sz="2"/>
          <w:insideH w:val="none"/>
          <w:insideV w:val="none"/>
        </w:tblBorders>
      </w:tblPr>
      <w:tblGrid>
        <w:gridCol w:w="100"/>
      </w:tblGrid>
      <w:tr>
        <w:tc>
          <w:tcPr>
            <w:shd w:fill="EAF0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7A8C"/>
                <w:sz w:val="21"/>
                <w:szCs w:val="21"/>
              </w:rPr>
              <w:t xml:space="preserve">Where you do this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Request and track CoS from the CoS Allocation module (/business/cosallocation). Approved allocations are permanent and cannot be deleted.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2"/>
          <w:szCs w:val="32"/>
        </w:rPr>
        <w:t xml:space="preserve">5. Sponsored Worker Management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With CoS in hand you onboard the workers you sponsor. For each worker you record their details, assign a CoS, and then keep their record compliant — reporting any qualifying events and absences to UKVI.</w:t>
      </w:r>
    </w:p>
    <w:p>
      <w:pPr>
        <w:pStyle w:val="Heading2"/>
        <w:spacing w:after="110" w:before="260"/>
      </w:pPr>
      <w:r>
        <w:rPr>
          <w:b/>
          <w:bCs/>
          <w:color w:val="2E5496"/>
          <w:sz w:val="26"/>
          <w:szCs w:val="26"/>
        </w:rPr>
        <w:t xml:space="preserve">5.1 Adding &amp; managing workers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Add a worker </w:t>
      </w:r>
      <w:r>
        <w:t xml:space="preserve">with personal details, passport/travel document and job details (Sponsored Workers).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Assign a Certificate of Sponsorship </w:t>
      </w:r>
      <w:r>
        <w:t xml:space="preserve">from your approved allocation.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Keep employment records </w:t>
      </w:r>
      <w:r>
        <w:t xml:space="preserve">up to date (Employee Records).</w:t>
      </w:r>
    </w:p>
    <w:p>
      <w:pPr>
        <w:spacing w:after="120" w:line="276"/>
      </w:pPr>
      <w:r>
        <w:rPr>
          <w:b/>
          <w:bCs/>
        </w:rPr>
        <w:t xml:space="preserve">Worker status: </w:t>
      </w:r>
      <w:r>
        <w:t xml:space="preserve">CoS Assigned (default on creation) — extended in Phase 5 with Active / On Leave / Terminated etc.</w:t>
      </w:r>
    </w:p>
    <w:p>
      <w:pPr>
        <w:pStyle w:val="Heading2"/>
        <w:spacing w:after="110" w:before="260"/>
      </w:pPr>
      <w:r>
        <w:rPr>
          <w:b/>
          <w:bCs/>
          <w:color w:val="2E5496"/>
          <w:sz w:val="26"/>
          <w:szCs w:val="26"/>
        </w:rPr>
        <w:t xml:space="preserve">5.2 Worker events &amp; absences (reporting duties)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Certain events must be reported to the UKVI Sponsorship Management System (SMS) and are then reviewed by a caseworker.</w:t>
      </w:r>
    </w:p>
    <w:p>
      <w:pPr>
        <w:spacing w:after="120" w:line="276"/>
      </w:pPr>
      <w:r>
        <w:rPr>
          <w:b/>
          <w:bCs/>
        </w:rPr>
        <w:t xml:space="preserve">Event operational statuses: </w:t>
      </w:r>
      <w:r>
        <w:t xml:space="preserve">pending, reported, overdue.</w:t>
      </w:r>
    </w:p>
    <w:p>
      <w:pPr>
        <w:spacing w:after="120" w:line="276"/>
      </w:pPr>
      <w:r>
        <w:rPr>
          <w:b/>
          <w:bCs/>
        </w:rPr>
        <w:t xml:space="preserve">Event review statuses: </w:t>
      </w:r>
      <w:r>
        <w:t xml:space="preserve">Submitted → Under Review → Approved → Rejected → Information Requested.</w:t>
      </w:r>
    </w:p>
    <w:p>
      <w:pPr>
        <w:spacing w:after="120" w:line="276"/>
      </w:pPr>
      <w:r>
        <w:rPr>
          <w:b/>
          <w:bCs/>
        </w:rPr>
        <w:t xml:space="preserve">Absence types: </w:t>
      </w:r>
      <w:r>
        <w:t xml:space="preserve">annual_leave, sick_leave, unauthorised, other.</w:t>
      </w:r>
    </w:p>
    <w:p>
      <w:pPr>
        <w:pStyle w:val="Heading3"/>
        <w:spacing w:after="80" w:before="200"/>
      </w:pPr>
      <w:r>
        <w:rPr>
          <w:b/>
          <w:bCs/>
          <w:color w:val="1F7A8C"/>
          <w:sz w:val="23"/>
          <w:szCs w:val="23"/>
        </w:rPr>
        <w:t xml:space="preserve">The reporting flow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222222"/>
          <w:sz w:val="21"/>
          <w:szCs w:val="21"/>
        </w:rPr>
        <w:t xml:space="preserve">Sponsor records a worker event or absence → operational status pending / reviewStatus Submitted.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222222"/>
          <w:sz w:val="21"/>
          <w:szCs w:val="21"/>
        </w:rPr>
        <w:t xml:space="preserve">Sponsor reports the event to the UKVI SMS (reportedToSms / reportedDate set).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color w:val="222222"/>
          <w:sz w:val="21"/>
          <w:szCs w:val="21"/>
        </w:rPr>
        <w:t xml:space="preserve">Caseworker reviews → Under Review → Approved / Rejected / Information Requested (loops back on response).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2"/>
          <w:szCs w:val="32"/>
        </w:rPr>
        <w:t xml:space="preserve">6. Ongoing Compliance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Holding a licence comes with continuous duties. These modules help you stay compliant and respond to the caseworker's reviews.</w:t>
      </w:r>
    </w:p>
    <w:p>
      <w:pPr>
        <w:pStyle w:val="Heading2"/>
        <w:spacing w:after="110" w:before="260"/>
      </w:pPr>
      <w:r>
        <w:rPr>
          <w:b/>
          <w:bCs/>
          <w:color w:val="2E5496"/>
          <w:sz w:val="26"/>
          <w:szCs w:val="26"/>
        </w:rPr>
        <w:t xml:space="preserve">6.1 Compliance documents &amp; the review cycle</w:t>
      </w:r>
    </w:p>
    <w:p>
      <w:pPr>
        <w:spacing w:after="120" w:line="276"/>
      </w:pPr>
      <w:r>
        <w:rPr>
          <w:b/>
          <w:bCs/>
        </w:rPr>
        <w:t xml:space="preserve">Document statuses: </w:t>
      </w:r>
      <w:r>
        <w:t xml:space="preserve">draft, submitted, under_review, approved, rejected, information_requested, (legacy: valid / expired / missing).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When you submit something for compliance, it moves through a shared review cycle (also used for right-to-work, worker events and change requests):</w:t>
      </w:r>
    </w:p>
    <w:tbl>
      <w:tblPr>
        <w:tblW w:type="pct" w:w="100%"/>
        <w:tblBorders>
          <w:top w:val="single" w:color="C9D4E6" w:sz="4"/>
          <w:left w:val="single" w:color="C9D4E6" w:sz="4"/>
          <w:bottom w:val="single" w:color="C9D4E6" w:sz="4"/>
          <w:right w:val="single" w:color="C9D4E6" w:sz="4"/>
          <w:insideH w:val="single" w:color="DCE3EF" w:sz="2"/>
          <w:insideV w:val="single" w:color="DCE3E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Review status</w:t>
            </w:r>
          </w:p>
        </w:tc>
        <w:tc>
          <w:tcPr>
            <w:tcW w:type="pct" w:w="70%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 next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Submitted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→ Under Review, Approved, Rejected, or Information Requested</w:t>
            </w:r>
          </w:p>
        </w:tc>
      </w:tr>
      <w:tr>
        <w:tc>
          <w:tcPr>
            <w:tcW w:type="pct" w:w="3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Under Review</w:t>
            </w:r>
          </w:p>
        </w:tc>
        <w:tc>
          <w:tcPr>
            <w:tcW w:type="pct" w:w="7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→ Approved, Rejected, or Information Requested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Information Requested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→ loops back to Submitted once the sponsor responds</w:t>
            </w:r>
          </w:p>
        </w:tc>
      </w:tr>
      <w:tr>
        <w:tc>
          <w:tcPr>
            <w:tcW w:type="pct" w:w="3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Approved</w:t>
            </w:r>
          </w:p>
        </w:tc>
        <w:tc>
          <w:tcPr>
            <w:tcW w:type="pct" w:w="70%"/>
            <w:shd w:fill="F4F6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Terminal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Rejected</w:t>
            </w:r>
          </w:p>
        </w:tc>
        <w:tc>
          <w:tcPr>
            <w:tcW w:type="pct" w:w="7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4" w:before="30"/>
            </w:pPr>
            <w:r>
              <w:rPr>
                <w:color w:val="222222"/>
                <w:sz w:val="19"/>
                <w:szCs w:val="19"/>
              </w:rPr>
              <w:t xml:space="preserve">May be re-opened to Under Review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2E5496"/>
          <w:sz w:val="26"/>
          <w:szCs w:val="26"/>
        </w:rPr>
        <w:t xml:space="preserve">6.2 Monthly compliance review  (Section N)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color w:val="222222"/>
          <w:sz w:val="21"/>
          <w:szCs w:val="21"/>
        </w:rPr>
        <w:t xml:space="preserve">Monthly Compliance Review is generated per organisation/sponsor either automatically (cron at month boundary) or manually (admin on demand); generatedBy = 'cron' | 'manual'.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color w:val="222222"/>
          <w:sz w:val="21"/>
          <w:szCs w:val="21"/>
        </w:rPr>
        <w:t xml:space="preserve">It freezes a snapshot with five sections: worker counts, risk breakdown, visa-expiry alerts, missing documents, and risk movement.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color w:val="222222"/>
          <w:sz w:val="21"/>
          <w:szCs w:val="21"/>
        </w:rPr>
        <w:t xml:space="preserve">The sponsor views their compliance position and responds to alerts; caseworker/admin action items feed the review-status cycle above.</w:t>
      </w:r>
    </w:p>
    <w:p>
      <w:pPr>
        <w:pStyle w:val="Heading2"/>
        <w:spacing w:after="110" w:before="260"/>
      </w:pPr>
      <w:r>
        <w:rPr>
          <w:b/>
          <w:bCs/>
          <w:color w:val="2E5496"/>
          <w:sz w:val="26"/>
          <w:szCs w:val="26"/>
        </w:rPr>
        <w:t xml:space="preserve">6.3 Reporting obligations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Your Reporting Obligations module lists the duties you must report to UKVI and their deadlines — for example worker start dates, changes of circumstance and absences. The Compliance Dashboard surfaces upcoming deadlines so nothing is missed.</w:t>
      </w:r>
    </w:p>
    <w:p>
      <w:pPr>
        <w:pStyle w:val="Heading2"/>
        <w:spacing w:after="110" w:before="260"/>
      </w:pPr>
      <w:r>
        <w:rPr>
          <w:b/>
          <w:bCs/>
          <w:color w:val="2E5496"/>
          <w:sz w:val="26"/>
          <w:szCs w:val="26"/>
        </w:rPr>
        <w:t xml:space="preserve">6.4 Right to Work  (Section H)</w:t>
      </w:r>
    </w:p>
    <w:p>
      <w:pPr>
        <w:spacing w:after="120" w:line="276"/>
      </w:pPr>
      <w:r>
        <w:rPr>
          <w:b/>
          <w:bCs/>
        </w:rPr>
        <w:t xml:space="preserve">Operational statuses: </w:t>
      </w:r>
      <w:r>
        <w:t xml:space="preserve">valid, expired, pending_followup.</w:t>
      </w:r>
    </w:p>
    <w:p>
      <w:pPr>
        <w:spacing w:after="120" w:line="276"/>
      </w:pPr>
      <w:r>
        <w:rPr>
          <w:b/>
          <w:bCs/>
        </w:rPr>
        <w:t xml:space="preserve">Review statuses: </w:t>
      </w:r>
      <w:r>
        <w:t xml:space="preserve">Submitted → Under Review → Approved → Rejected → Information Requested.</w:t>
      </w:r>
    </w:p>
    <w:p>
      <w:pPr>
        <w:spacing w:after="120" w:line="276"/>
      </w:pPr>
      <w:r>
        <w:rPr>
          <w:b/>
          <w:bCs/>
        </w:rPr>
        <w:t xml:space="preserve">What you record: </w:t>
      </w:r>
      <w:r>
        <w:t xml:space="preserve">worker &amp; sponsor references, initial check date, who checked, official reference number, evidence document path, follow-up check date, and compliance review fields (reviewedBy/At, notes).</w:t>
      </w:r>
    </w:p>
    <w:p>
      <w:pPr>
        <w:pStyle w:val="Heading2"/>
        <w:spacing w:after="110" w:before="260"/>
      </w:pPr>
      <w:r>
        <w:rPr>
          <w:b/>
          <w:bCs/>
          <w:color w:val="2E5496"/>
          <w:sz w:val="26"/>
          <w:szCs w:val="26"/>
        </w:rPr>
        <w:t xml:space="preserve">6.5 Change requests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When something about a sponsored worker changes (e.g. salary or job title), you raise a change request. It is reviewed and, if high-risk, escalated.</w:t>
      </w:r>
    </w:p>
    <w:p>
      <w:pPr>
        <w:spacing w:after="120" w:line="276"/>
      </w:pPr>
      <w:r>
        <w:rPr>
          <w:b/>
          <w:bCs/>
        </w:rPr>
        <w:t xml:space="preserve">Statuses: </w:t>
      </w:r>
      <w:r>
        <w:t xml:space="preserve">SUBMITTED → UNDER_REVIEW → APPROVED → REJECTED → ESCALATED → COMPLETED.</w:t>
      </w:r>
    </w:p>
    <w:p>
      <w:pPr>
        <w:spacing w:after="120" w:line="276"/>
      </w:pPr>
      <w:r>
        <w:rPr>
          <w:b/>
          <w:bCs/>
        </w:rPr>
        <w:t xml:space="preserve">Risk levels: </w:t>
      </w:r>
      <w:r>
        <w:t xml:space="preserve">LOW, MEDIUM, HIGH, CRITICAL.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color w:val="222222"/>
          <w:sz w:val="21"/>
          <w:szCs w:val="21"/>
        </w:rPr>
        <w:t xml:space="preserve">Sponsor raises a change (e.g. salary or job-title update) with old value, requested value, reason and risk level → SUBMITTED.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color w:val="222222"/>
          <w:sz w:val="21"/>
          <w:szCs w:val="21"/>
        </w:rPr>
        <w:t xml:space="preserve">Admin/caseworker reviews → UNDER_REVIEW.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color w:val="222222"/>
          <w:sz w:val="21"/>
          <w:szCs w:val="21"/>
        </w:rPr>
        <w:t xml:space="preserve">Approve → APPROVED → COMPLETED (change applied to the worker record); Reject → REJECTED; high-risk items → ESCALATED to compliance/senior admin.</w:t>
      </w:r>
    </w:p>
    <w:p>
      <w:pPr>
        <w:pStyle w:val="Heading2"/>
        <w:spacing w:after="110" w:before="260"/>
      </w:pPr>
      <w:r>
        <w:rPr>
          <w:b/>
          <w:bCs/>
          <w:color w:val="2E5496"/>
          <w:sz w:val="26"/>
          <w:szCs w:val="26"/>
        </w:rPr>
        <w:t xml:space="preserve">6.6 Linked entities  (Section K — multi-company handling)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If your sponsorship covers a group with related companies or branches, use Linked Entities to link and manage those entities under your licence.</w:t>
      </w:r>
    </w:p>
    <w:p>
      <w:pPr>
        <w:pStyle w:val="Heading2"/>
        <w:spacing w:after="110" w:before="260"/>
      </w:pPr>
      <w:r>
        <w:rPr>
          <w:b/>
          <w:bCs/>
          <w:color w:val="2E5496"/>
          <w:sz w:val="26"/>
          <w:szCs w:val="26"/>
        </w:rPr>
        <w:t xml:space="preserve">6.7 Audit log  (Section O)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Your sponsor Audit Log records the actions taken on your account, giving you a clear, timestamped history for your own assurance and for inspections.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2"/>
          <w:szCs w:val="32"/>
        </w:rPr>
        <w:t xml:space="preserve">7. Finance, Communication &amp; Help</w:t>
      </w:r>
    </w:p>
    <w:p>
      <w:pPr>
        <w:pStyle w:val="Heading2"/>
        <w:spacing w:after="110" w:before="260"/>
      </w:pPr>
      <w:r>
        <w:rPr>
          <w:b/>
          <w:bCs/>
          <w:color w:val="2E5496"/>
          <w:sz w:val="26"/>
          <w:szCs w:val="26"/>
        </w:rPr>
        <w:t xml:space="preserve">7.1 Finance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Payments </w:t>
      </w:r>
      <w:r>
        <w:t xml:space="preserve">— pay your licence fee (which depends on your sponsor size) and any other charges; view history and status (pending, completed, failed, refunded).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Invoices </w:t>
      </w:r>
      <w:r>
        <w:t xml:space="preserve">— view and download invoices for your records.</w:t>
      </w:r>
    </w:p>
    <w:p>
      <w:pPr>
        <w:pStyle w:val="Heading2"/>
        <w:spacing w:after="110" w:before="260"/>
      </w:pPr>
      <w:r>
        <w:rPr>
          <w:b/>
          <w:bCs/>
          <w:color w:val="2E5496"/>
          <w:sz w:val="26"/>
          <w:szCs w:val="26"/>
        </w:rPr>
        <w:t xml:space="preserve">7.2 Communication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Messages </w:t>
      </w:r>
      <w:r>
        <w:t xml:space="preserve">— your direct line to the caseworker; use it whenever you're unsure.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Notifications </w:t>
      </w:r>
      <w:r>
        <w:t xml:space="preserve">— alerts whenever your licence, CoS, compliance or a worker needs attention.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Calendar </w:t>
      </w:r>
      <w:r>
        <w:t xml:space="preserve">— appointments and key dates.</w:t>
      </w:r>
    </w:p>
    <w:p>
      <w:pPr>
        <w:pStyle w:val="Heading2"/>
        <w:spacing w:after="110" w:before="260"/>
      </w:pPr>
      <w:r>
        <w:rPr>
          <w:b/>
          <w:bCs/>
          <w:color w:val="2E5496"/>
          <w:sz w:val="26"/>
          <w:szCs w:val="26"/>
        </w:rPr>
        <w:t xml:space="preserve">7.3 Tips to keep your licence healthy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color w:val="222222"/>
          <w:sz w:val="21"/>
          <w:szCs w:val="21"/>
        </w:rPr>
        <w:t xml:space="preserve">Respond quickly to information requests — the review cycle only moves when you reply.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color w:val="222222"/>
          <w:sz w:val="21"/>
          <w:szCs w:val="21"/>
        </w:rPr>
        <w:t xml:space="preserve">Report worker events and absences on time to stay compliant.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color w:val="222222"/>
          <w:sz w:val="21"/>
          <w:szCs w:val="21"/>
        </w:rPr>
        <w:t xml:space="preserve">Keep organisation details and key personnel up to date.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color w:val="222222"/>
          <w:sz w:val="21"/>
          <w:szCs w:val="21"/>
        </w:rPr>
        <w:t xml:space="preserve">Check the Monthly Review and Compliance Dashboard for visa-expiry alerts and missing documents.</w:t>
      </w:r>
    </w:p>
    <w:p>
      <w:pPr>
        <w:pStyle w:val="Heading2"/>
        <w:spacing w:after="110" w:before="260"/>
      </w:pPr>
      <w:r>
        <w:rPr>
          <w:b/>
          <w:bCs/>
          <w:color w:val="2E5496"/>
          <w:sz w:val="26"/>
          <w:szCs w:val="26"/>
        </w:rPr>
        <w:t xml:space="preserve">7.4 The whole sponsor journey, recapped</w:t>
      </w:r>
    </w:p>
    <w:tbl>
      <w:tblPr>
        <w:tblW w:type="pct" w:w="100%"/>
        <w:tblBorders>
          <w:top w:val="single" w:color="1F3864" w:sz="2"/>
          <w:left w:val="single" w:color="1F3864" w:sz="16"/>
          <w:bottom w:val="single" w:color="1F3864" w:sz="2"/>
          <w:right w:val="single" w:color="1F3864" w:sz="2"/>
          <w:insideH w:val="none"/>
          <w:insideV w:val="none"/>
        </w:tblBorders>
      </w:tblPr>
      <w:tblGrid>
        <w:gridCol w:w="100"/>
      </w:tblGrid>
      <w:tr>
        <w:tc>
          <w:tcPr>
            <w:shd w:fill="EAF0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Start to steady-state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1. Onboard and complete your Business Profile and Key Personnel.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2. Build the 8-section licence application; upload Licence Documents; pay the fee.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3. Respond to the caseworker's review; your application moves through the government pipeline.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4. Licence Granted — your SLN is issued.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5. Request CoS Allocation; once approved, add Sponsored Workers and assign CoS.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6. Run ongoing compliance: reporting obligations, right to work, change requests, monthly review — supported by Messages, Notifications and your Audit Log.</w:t>
            </w:r>
          </w:p>
        </w:tc>
      </w:tr>
    </w:tbl>
    <w:p>
      <w:pPr>
        <w:spacing w:after="120"/>
      </w:pPr>
    </w:p>
    <w:p>
      <w:pPr>
        <w:spacing w:after="120" w:line="276"/>
        <w:jc w:val="center"/>
      </w:pPr>
      <w:r>
        <w:rPr>
          <w:i/>
          <w:iCs/>
          <w:color w:val="5A5A5A"/>
          <w:sz w:val="21"/>
          <w:szCs w:val="21"/>
        </w:rPr>
        <w:t xml:space="preserve">— End of guide —</w:t>
      </w:r>
    </w:p>
    <w:sectPr>
      <w:footerReference w:type="default" r:id="rId7"/>
      <w:pgSz w:w="11906" w:h="16838" w:orient="portrait"/>
      <w:pgMar w:top="10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E6" w:sz="4" w:space="6"/>
      </w:pBdr>
      <w:jc w:val="center"/>
    </w:pPr>
    <w:r>
      <w:rPr>
        <w:color w:val="5A5A5A"/>
        <w:sz w:val="16"/>
        <w:szCs w:val="16"/>
      </w:rPr>
      <w:t xml:space="preserve">Sponsor Licence — Flow &amp; Module Guide</w:t>
    </w:r>
    <w:r>
      <w:rPr>
        <w:color w:val="5A5A5A"/>
        <w:sz w:val="16"/>
        <w:szCs w:val="16"/>
      </w:rPr>
      <w:t xml:space="preserve">     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2E549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2E549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2E549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F7A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Sponsor Licence — Flow &amp; Module Guide for Sponsors</dc:title>
  <dc:creator>EPiC Sponsor Licence Guide Generator</dc:creator>
  <dc:description>Sponsor-facing walkthrough of the sponsor licence flow and all sponsor modules</dc:description>
  <cp:lastModifiedBy>Un-named</cp:lastModifiedBy>
  <cp:revision>1</cp:revision>
  <dcterms:created xsi:type="dcterms:W3CDTF">2026-07-01T09:20:39.005Z</dcterms:created>
  <dcterms:modified xsi:type="dcterms:W3CDTF">2026-07-01T09:20:39.007Z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