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EF3B1" w14:textId="5B3BE3CC" w:rsidR="00F75DA3" w:rsidRPr="00F75DA3" w:rsidRDefault="00673FF6" w:rsidP="00F75DA3">
      <w:pPr>
        <w:jc w:val="both"/>
        <w:rPr>
          <w:rFonts w:ascii="Times New Roman" w:hAnsi="Times New Roman" w:cs="Times New Roman"/>
          <w:sz w:val="24"/>
          <w:szCs w:val="24"/>
        </w:rPr>
      </w:pPr>
      <w:r>
        <w:rPr>
          <w:rFonts w:ascii="Times New Roman" w:hAnsi="Times New Roman" w:cs="Times New Roman"/>
          <w:b/>
          <w:bCs/>
          <w:sz w:val="24"/>
          <w:szCs w:val="24"/>
        </w:rPr>
        <w:t>1.</w:t>
      </w:r>
      <w:r w:rsidR="00F75DA3" w:rsidRPr="00F75DA3">
        <w:rPr>
          <w:rFonts w:ascii="Times New Roman" w:hAnsi="Times New Roman" w:cs="Times New Roman"/>
          <w:b/>
          <w:bCs/>
          <w:sz w:val="24"/>
          <w:szCs w:val="24"/>
        </w:rPr>
        <w:t xml:space="preserve">Article title: </w:t>
      </w:r>
      <w:r w:rsidR="00F75DA3" w:rsidRPr="00F75DA3">
        <w:rPr>
          <w:rFonts w:ascii="Times New Roman" w:hAnsi="Times New Roman" w:cs="Times New Roman"/>
          <w:sz w:val="24"/>
          <w:szCs w:val="24"/>
        </w:rPr>
        <w:t>Service learning in higher education: a systematic literature review</w:t>
      </w:r>
    </w:p>
    <w:p w14:paraId="61C4A058" w14:textId="57E06946" w:rsidR="00F75DA3" w:rsidRPr="00F75DA3" w:rsidRDefault="00F75DA3" w:rsidP="00F75DA3">
      <w:pPr>
        <w:jc w:val="both"/>
        <w:rPr>
          <w:rFonts w:ascii="Times New Roman" w:hAnsi="Times New Roman" w:cs="Times New Roman"/>
          <w:sz w:val="24"/>
          <w:szCs w:val="24"/>
        </w:rPr>
      </w:pPr>
      <w:proofErr w:type="spellStart"/>
      <w:r w:rsidRPr="00F75DA3">
        <w:rPr>
          <w:rFonts w:ascii="Times New Roman" w:hAnsi="Times New Roman" w:cs="Times New Roman"/>
          <w:b/>
          <w:bCs/>
          <w:sz w:val="24"/>
          <w:szCs w:val="24"/>
        </w:rPr>
        <w:t>Auther</w:t>
      </w:r>
      <w:proofErr w:type="spellEnd"/>
      <w:r w:rsidRPr="00F75DA3">
        <w:rPr>
          <w:rFonts w:ascii="Times New Roman" w:hAnsi="Times New Roman" w:cs="Times New Roman"/>
          <w:b/>
          <w:bCs/>
          <w:sz w:val="24"/>
          <w:szCs w:val="24"/>
        </w:rPr>
        <w:t xml:space="preserve">: </w:t>
      </w:r>
      <w:r w:rsidRPr="00F75DA3">
        <w:rPr>
          <w:rFonts w:ascii="Times New Roman" w:hAnsi="Times New Roman" w:cs="Times New Roman"/>
          <w:sz w:val="24"/>
          <w:szCs w:val="24"/>
        </w:rPr>
        <w:t xml:space="preserve">Dayang </w:t>
      </w:r>
      <w:proofErr w:type="spellStart"/>
      <w:r w:rsidRPr="00F75DA3">
        <w:rPr>
          <w:rFonts w:ascii="Times New Roman" w:hAnsi="Times New Roman" w:cs="Times New Roman"/>
          <w:sz w:val="24"/>
          <w:szCs w:val="24"/>
        </w:rPr>
        <w:t>Nurfatimah</w:t>
      </w:r>
      <w:proofErr w:type="spellEnd"/>
      <w:r w:rsidRPr="00F75DA3">
        <w:rPr>
          <w:rFonts w:ascii="Times New Roman" w:hAnsi="Times New Roman" w:cs="Times New Roman"/>
          <w:sz w:val="24"/>
          <w:szCs w:val="24"/>
        </w:rPr>
        <w:t xml:space="preserve"> Awang Iskandar</w:t>
      </w:r>
    </w:p>
    <w:p w14:paraId="759A5C42" w14:textId="1F92244C" w:rsidR="00F75DA3" w:rsidRPr="00F75DA3" w:rsidRDefault="00F75DA3" w:rsidP="00F75DA3">
      <w:pPr>
        <w:jc w:val="both"/>
        <w:rPr>
          <w:rFonts w:ascii="Times New Roman" w:hAnsi="Times New Roman" w:cs="Times New Roman"/>
          <w:b/>
          <w:bCs/>
          <w:sz w:val="24"/>
          <w:szCs w:val="24"/>
        </w:rPr>
      </w:pPr>
      <w:r w:rsidRPr="00F75DA3">
        <w:rPr>
          <w:rFonts w:ascii="Times New Roman" w:hAnsi="Times New Roman" w:cs="Times New Roman"/>
          <w:b/>
          <w:bCs/>
          <w:sz w:val="24"/>
          <w:szCs w:val="24"/>
        </w:rPr>
        <w:t>Article summary:</w:t>
      </w:r>
    </w:p>
    <w:p w14:paraId="31660B6F" w14:textId="44872C5C" w:rsidR="00F75DA3" w:rsidRPr="00F75DA3" w:rsidRDefault="00F75DA3" w:rsidP="00F75DA3">
      <w:pPr>
        <w:jc w:val="both"/>
        <w:rPr>
          <w:rFonts w:ascii="Times New Roman" w:hAnsi="Times New Roman" w:cs="Times New Roman"/>
          <w:sz w:val="24"/>
          <w:szCs w:val="24"/>
        </w:rPr>
      </w:pPr>
      <w:r w:rsidRPr="00F75DA3">
        <w:rPr>
          <w:rFonts w:ascii="Times New Roman" w:hAnsi="Times New Roman" w:cs="Times New Roman"/>
          <w:sz w:val="24"/>
          <w:szCs w:val="24"/>
        </w:rPr>
        <w:t xml:space="preserve">Salam et al. (2019) performed a systematic literature review </w:t>
      </w:r>
      <w:proofErr w:type="spellStart"/>
      <w:r w:rsidRPr="00F75DA3">
        <w:rPr>
          <w:rFonts w:ascii="Times New Roman" w:hAnsi="Times New Roman" w:cs="Times New Roman"/>
          <w:sz w:val="24"/>
          <w:szCs w:val="24"/>
        </w:rPr>
        <w:t>analyzing</w:t>
      </w:r>
      <w:proofErr w:type="spellEnd"/>
      <w:r w:rsidRPr="00F75DA3">
        <w:rPr>
          <w:rFonts w:ascii="Times New Roman" w:hAnsi="Times New Roman" w:cs="Times New Roman"/>
          <w:sz w:val="24"/>
          <w:szCs w:val="24"/>
        </w:rPr>
        <w:t xml:space="preserve"> 133 peer-reviewed studies published between 2000 and 2018. Service learning is defined as an experiential pedagogy that combines academic course content with organized community service and deliberate reflection. Disciplinary adoption is highest in Health Sciences and Nursing (30%), followed by Business and Economics (17%), Computer Science (14%), and Sociology (10%). E-service learning extends community engagement into online distance education through fully virtual or hybrid service delivery formats. Key implementation challenges include poor time management, field trip scheduling conflicts, financial constraints, and managing participant communication. Theoretical foundations rely heavily on Dewey’s experiential learning theory and Kolb’s four-stage experiential learning cycle. Existing implementation frameworks are predominantly subject-oriented and lack cross-disciplinary generalisability while overlooking ICT integration. Participating students gain enhanced critical thinking, civic responsibility, problem-solving skills, and deeper concept comprehension. Faculty members benefit from conducting action research, improving instructional practices, and increasing teaching self-efficacy. Community partners receive vital technical, health, and cognitive assistance to address pressing local community needs</w:t>
      </w:r>
    </w:p>
    <w:p w14:paraId="4F4F154C" w14:textId="77777777" w:rsidR="00F75DA3" w:rsidRPr="00F75DA3" w:rsidRDefault="00F75DA3" w:rsidP="00F75DA3">
      <w:pPr>
        <w:jc w:val="both"/>
        <w:rPr>
          <w:rFonts w:ascii="Times New Roman" w:hAnsi="Times New Roman" w:cs="Times New Roman"/>
          <w:sz w:val="24"/>
          <w:szCs w:val="24"/>
        </w:rPr>
      </w:pPr>
    </w:p>
    <w:p w14:paraId="7335DB0E" w14:textId="20F6DBA4" w:rsidR="00F75DA3" w:rsidRPr="00F75DA3" w:rsidRDefault="00673FF6" w:rsidP="00F75DA3">
      <w:pPr>
        <w:jc w:val="both"/>
        <w:rPr>
          <w:rFonts w:ascii="Times New Roman" w:hAnsi="Times New Roman" w:cs="Times New Roman"/>
          <w:b/>
          <w:bCs/>
          <w:sz w:val="24"/>
          <w:szCs w:val="24"/>
        </w:rPr>
      </w:pPr>
      <w:r>
        <w:rPr>
          <w:rFonts w:ascii="Times New Roman" w:hAnsi="Times New Roman" w:cs="Times New Roman"/>
          <w:b/>
          <w:bCs/>
          <w:sz w:val="24"/>
          <w:szCs w:val="24"/>
        </w:rPr>
        <w:t>2.</w:t>
      </w:r>
      <w:r w:rsidR="00F75DA3" w:rsidRPr="00F75DA3">
        <w:rPr>
          <w:rFonts w:ascii="Times New Roman" w:hAnsi="Times New Roman" w:cs="Times New Roman"/>
          <w:b/>
          <w:bCs/>
          <w:sz w:val="24"/>
          <w:szCs w:val="24"/>
        </w:rPr>
        <w:t xml:space="preserve">Article title: </w:t>
      </w:r>
      <w:r w:rsidR="00F75DA3" w:rsidRPr="00F75DA3">
        <w:rPr>
          <w:rFonts w:ascii="Times New Roman" w:hAnsi="Times New Roman" w:cs="Times New Roman"/>
          <w:sz w:val="24"/>
          <w:szCs w:val="24"/>
        </w:rPr>
        <w:t>Service Learning in Higher Education: A Systematic Literature Review</w:t>
      </w:r>
    </w:p>
    <w:p w14:paraId="48E90026" w14:textId="7622EA47" w:rsidR="00F75DA3" w:rsidRPr="00F75DA3" w:rsidRDefault="00F75DA3" w:rsidP="00F75DA3">
      <w:pPr>
        <w:jc w:val="both"/>
        <w:rPr>
          <w:rFonts w:ascii="Times New Roman" w:hAnsi="Times New Roman" w:cs="Times New Roman"/>
          <w:sz w:val="24"/>
          <w:szCs w:val="24"/>
        </w:rPr>
      </w:pPr>
      <w:r w:rsidRPr="00F75DA3">
        <w:rPr>
          <w:rFonts w:ascii="Times New Roman" w:hAnsi="Times New Roman" w:cs="Times New Roman"/>
          <w:b/>
          <w:bCs/>
          <w:sz w:val="24"/>
          <w:szCs w:val="24"/>
        </w:rPr>
        <w:t xml:space="preserve">Authors: </w:t>
      </w:r>
      <w:r w:rsidRPr="00F75DA3">
        <w:rPr>
          <w:rFonts w:ascii="Times New Roman" w:hAnsi="Times New Roman" w:cs="Times New Roman"/>
          <w:sz w:val="24"/>
          <w:szCs w:val="24"/>
        </w:rPr>
        <w:t>D. N. Awang Iskandar</w:t>
      </w:r>
    </w:p>
    <w:p w14:paraId="026E51E0" w14:textId="222B6D9F" w:rsidR="00F75DA3" w:rsidRPr="00F75DA3" w:rsidRDefault="00F75DA3" w:rsidP="00F75DA3">
      <w:pPr>
        <w:jc w:val="both"/>
        <w:rPr>
          <w:rFonts w:ascii="Times New Roman" w:hAnsi="Times New Roman" w:cs="Times New Roman"/>
          <w:b/>
          <w:bCs/>
          <w:sz w:val="24"/>
          <w:szCs w:val="24"/>
        </w:rPr>
      </w:pPr>
      <w:r w:rsidRPr="00F75DA3">
        <w:rPr>
          <w:rFonts w:ascii="Times New Roman" w:hAnsi="Times New Roman" w:cs="Times New Roman"/>
          <w:b/>
          <w:bCs/>
          <w:sz w:val="24"/>
          <w:szCs w:val="24"/>
        </w:rPr>
        <w:t>Article summary:</w:t>
      </w:r>
    </w:p>
    <w:p w14:paraId="3A8815AD" w14:textId="6007326E" w:rsidR="00F75DA3" w:rsidRPr="00F75DA3" w:rsidRDefault="00F75DA3" w:rsidP="00F75DA3">
      <w:pPr>
        <w:jc w:val="both"/>
        <w:rPr>
          <w:rFonts w:ascii="Times New Roman" w:hAnsi="Times New Roman" w:cs="Times New Roman"/>
          <w:sz w:val="24"/>
          <w:szCs w:val="24"/>
        </w:rPr>
      </w:pPr>
      <w:r w:rsidRPr="00F75DA3">
        <w:rPr>
          <w:rFonts w:ascii="Times New Roman" w:hAnsi="Times New Roman" w:cs="Times New Roman"/>
          <w:b/>
          <w:bCs/>
          <w:sz w:val="24"/>
          <w:szCs w:val="24"/>
        </w:rPr>
        <w:t>D. N. Awang Iskandar (2019)</w:t>
      </w:r>
      <w:r w:rsidRPr="00F75DA3">
        <w:rPr>
          <w:rFonts w:ascii="Times New Roman" w:hAnsi="Times New Roman" w:cs="Times New Roman"/>
          <w:sz w:val="24"/>
          <w:szCs w:val="24"/>
        </w:rPr>
        <w:t xml:space="preserve"> conducted a systematic literature review titled </w:t>
      </w:r>
      <w:r w:rsidRPr="00F75DA3">
        <w:rPr>
          <w:rFonts w:ascii="Times New Roman" w:hAnsi="Times New Roman" w:cs="Times New Roman"/>
          <w:i/>
          <w:iCs/>
          <w:sz w:val="24"/>
          <w:szCs w:val="24"/>
        </w:rPr>
        <w:t>“Service Learning in Higher Education: A Systematic Literature Review.”</w:t>
      </w:r>
      <w:r w:rsidRPr="00F75DA3">
        <w:rPr>
          <w:rFonts w:ascii="Times New Roman" w:hAnsi="Times New Roman" w:cs="Times New Roman"/>
          <w:sz w:val="24"/>
          <w:szCs w:val="24"/>
        </w:rPr>
        <w:t xml:space="preserve"> The article examines how service-learning is applied in higher education and its role in linking academic study with community-based service. The authors found that service-learning is used across fields including health sciences, business, education, technology, social sciences, languages, and environmental studies. Their review concludes that service-learning can strengthen students’ practical abilities, professional skills, civic awareness, social responsibility, and reflective learning, while also benefiting communities through university partnerships. However, Salam, Awang Iskandar, Ibrahim, and Farooq note that many current implementation frameworks are limited to particular disciplines or institutions; therefore, universities need more flexible and comprehensive approaches to integrate service-learning effectively into curricula.</w:t>
      </w:r>
    </w:p>
    <w:p w14:paraId="2997CE5B" w14:textId="77777777" w:rsidR="00F75DA3" w:rsidRPr="00F75DA3" w:rsidRDefault="00F75DA3" w:rsidP="00F75DA3">
      <w:pPr>
        <w:jc w:val="both"/>
        <w:rPr>
          <w:rFonts w:ascii="Times New Roman" w:hAnsi="Times New Roman" w:cs="Times New Roman"/>
          <w:sz w:val="24"/>
          <w:szCs w:val="24"/>
        </w:rPr>
      </w:pPr>
    </w:p>
    <w:p w14:paraId="3C11F0EF" w14:textId="77777777" w:rsidR="00673FF6" w:rsidRDefault="00673FF6" w:rsidP="00F75DA3">
      <w:pPr>
        <w:jc w:val="both"/>
        <w:rPr>
          <w:rFonts w:ascii="Times New Roman" w:hAnsi="Times New Roman" w:cs="Times New Roman"/>
          <w:b/>
          <w:bCs/>
          <w:sz w:val="24"/>
          <w:szCs w:val="24"/>
        </w:rPr>
      </w:pPr>
    </w:p>
    <w:p w14:paraId="2C138BEA" w14:textId="77777777" w:rsidR="00673FF6" w:rsidRDefault="00673FF6" w:rsidP="00F75DA3">
      <w:pPr>
        <w:jc w:val="both"/>
        <w:rPr>
          <w:rFonts w:ascii="Times New Roman" w:hAnsi="Times New Roman" w:cs="Times New Roman"/>
          <w:b/>
          <w:bCs/>
          <w:sz w:val="24"/>
          <w:szCs w:val="24"/>
        </w:rPr>
      </w:pPr>
    </w:p>
    <w:p w14:paraId="56653A36" w14:textId="77777777" w:rsidR="00673FF6" w:rsidRDefault="00673FF6" w:rsidP="00F75DA3">
      <w:pPr>
        <w:jc w:val="both"/>
        <w:rPr>
          <w:rFonts w:ascii="Times New Roman" w:hAnsi="Times New Roman" w:cs="Times New Roman"/>
          <w:b/>
          <w:bCs/>
          <w:sz w:val="24"/>
          <w:szCs w:val="24"/>
        </w:rPr>
      </w:pPr>
    </w:p>
    <w:p w14:paraId="644DF6DD" w14:textId="77777777" w:rsidR="00673FF6" w:rsidRDefault="00673FF6" w:rsidP="00F75DA3">
      <w:pPr>
        <w:jc w:val="both"/>
        <w:rPr>
          <w:rFonts w:ascii="Times New Roman" w:hAnsi="Times New Roman" w:cs="Times New Roman"/>
          <w:b/>
          <w:bCs/>
          <w:sz w:val="24"/>
          <w:szCs w:val="24"/>
        </w:rPr>
      </w:pPr>
    </w:p>
    <w:p w14:paraId="11B462D2" w14:textId="0477002A" w:rsidR="00F75DA3" w:rsidRPr="00F75DA3" w:rsidRDefault="00673FF6" w:rsidP="00F75DA3">
      <w:pPr>
        <w:jc w:val="both"/>
        <w:rPr>
          <w:rFonts w:ascii="Times New Roman" w:hAnsi="Times New Roman" w:cs="Times New Roman"/>
          <w:sz w:val="24"/>
          <w:szCs w:val="24"/>
        </w:rPr>
      </w:pPr>
      <w:r>
        <w:rPr>
          <w:rFonts w:ascii="Times New Roman" w:hAnsi="Times New Roman" w:cs="Times New Roman"/>
          <w:b/>
          <w:bCs/>
          <w:sz w:val="24"/>
          <w:szCs w:val="24"/>
        </w:rPr>
        <w:lastRenderedPageBreak/>
        <w:t>3.</w:t>
      </w:r>
      <w:r w:rsidR="00F75DA3" w:rsidRPr="00F75DA3">
        <w:rPr>
          <w:rFonts w:ascii="Times New Roman" w:hAnsi="Times New Roman" w:cs="Times New Roman"/>
          <w:b/>
          <w:bCs/>
          <w:sz w:val="24"/>
          <w:szCs w:val="24"/>
        </w:rPr>
        <w:t>Article title:</w:t>
      </w:r>
      <w:r w:rsidR="00F75DA3" w:rsidRPr="00F75DA3">
        <w:rPr>
          <w:rFonts w:ascii="Times New Roman" w:hAnsi="Times New Roman" w:cs="Times New Roman"/>
          <w:sz w:val="24"/>
          <w:szCs w:val="24"/>
        </w:rPr>
        <w:t xml:space="preserve"> Service learning in higher education.</w:t>
      </w:r>
    </w:p>
    <w:p w14:paraId="503FC504" w14:textId="77777777" w:rsidR="00F75DA3" w:rsidRPr="00F75DA3" w:rsidRDefault="00F75DA3" w:rsidP="00F75DA3">
      <w:pPr>
        <w:jc w:val="both"/>
        <w:rPr>
          <w:rFonts w:ascii="Times New Roman" w:hAnsi="Times New Roman" w:cs="Times New Roman"/>
          <w:sz w:val="24"/>
          <w:szCs w:val="24"/>
        </w:rPr>
      </w:pPr>
      <w:r w:rsidRPr="00F75DA3">
        <w:rPr>
          <w:rFonts w:ascii="Times New Roman" w:hAnsi="Times New Roman" w:cs="Times New Roman"/>
          <w:b/>
          <w:bCs/>
          <w:sz w:val="24"/>
          <w:szCs w:val="24"/>
        </w:rPr>
        <w:t>Author:</w:t>
      </w:r>
      <w:r w:rsidRPr="00F75DA3">
        <w:rPr>
          <w:rFonts w:ascii="Times New Roman" w:hAnsi="Times New Roman" w:cs="Times New Roman"/>
          <w:sz w:val="24"/>
          <w:szCs w:val="24"/>
        </w:rPr>
        <w:t xml:space="preserve"> Muhammad Shoaib Farooq</w:t>
      </w:r>
    </w:p>
    <w:p w14:paraId="1E016747" w14:textId="5C780D87" w:rsidR="00F75DA3" w:rsidRPr="00F75DA3" w:rsidRDefault="00F75DA3" w:rsidP="00F75DA3">
      <w:pPr>
        <w:jc w:val="both"/>
        <w:rPr>
          <w:rFonts w:ascii="Times New Roman" w:hAnsi="Times New Roman" w:cs="Times New Roman"/>
          <w:b/>
          <w:bCs/>
          <w:sz w:val="24"/>
          <w:szCs w:val="24"/>
        </w:rPr>
      </w:pPr>
      <w:r w:rsidRPr="00F75DA3">
        <w:rPr>
          <w:rFonts w:ascii="Times New Roman" w:hAnsi="Times New Roman" w:cs="Times New Roman"/>
          <w:b/>
          <w:bCs/>
          <w:sz w:val="24"/>
          <w:szCs w:val="24"/>
        </w:rPr>
        <w:t>Article summary:</w:t>
      </w:r>
    </w:p>
    <w:p w14:paraId="5609CB3E" w14:textId="0F2697B5" w:rsidR="00F75DA3" w:rsidRPr="00F75DA3" w:rsidRDefault="00F75DA3" w:rsidP="00F75DA3">
      <w:pPr>
        <w:jc w:val="both"/>
        <w:rPr>
          <w:rFonts w:ascii="Times New Roman" w:hAnsi="Times New Roman" w:cs="Times New Roman"/>
          <w:sz w:val="24"/>
          <w:szCs w:val="24"/>
        </w:rPr>
      </w:pPr>
      <w:r w:rsidRPr="00F75DA3">
        <w:rPr>
          <w:rFonts w:ascii="Times New Roman" w:hAnsi="Times New Roman" w:cs="Times New Roman"/>
          <w:sz w:val="24"/>
          <w:szCs w:val="24"/>
        </w:rPr>
        <w:t>The article “Service Learning in Higher Education: A Systematic Literature Review” was written by Maimoona Salam, Dayang N. F. Awang Iskandar, Dayang Hanani Abang Ibrahim, and Muhammad Shoaib Farooq. It explains how service-learning is used in universities as a method that combines classroom learning with service to the community. The review shows that service-learning helps students connect academic knowledge with real-life situations and community needs. It can improve communication, teamwork, leadership, critical thinking, problem-solving, and professional skills. Students may also become more socially responsible and more aware of the problems faced by different groups in society. The article reports that service-learning is used in many subjects, including education, health, business, and social sciences. However, successful programs require good planning, support from teachers, cooperation with community organizations, and clear methods for assessing student learning. Overall, the authors conclude that service-learning is a useful teaching approach because it benefits university students while also supporting communities.</w:t>
      </w:r>
    </w:p>
    <w:p w14:paraId="54951CF9" w14:textId="0B70B2D4" w:rsidR="00F75DA3" w:rsidRPr="00F75DA3" w:rsidRDefault="00F75DA3" w:rsidP="00F75DA3">
      <w:pPr>
        <w:jc w:val="both"/>
        <w:rPr>
          <w:rFonts w:ascii="Times New Roman" w:hAnsi="Times New Roman" w:cs="Times New Roman"/>
          <w:b/>
          <w:bCs/>
          <w:sz w:val="24"/>
          <w:szCs w:val="24"/>
        </w:rPr>
      </w:pPr>
    </w:p>
    <w:p w14:paraId="77855FA9" w14:textId="08B50417" w:rsidR="00F75DA3" w:rsidRPr="00F75DA3" w:rsidRDefault="00673FF6" w:rsidP="00F75DA3">
      <w:pPr>
        <w:jc w:val="both"/>
        <w:rPr>
          <w:rFonts w:ascii="Times New Roman" w:hAnsi="Times New Roman" w:cs="Times New Roman"/>
          <w:sz w:val="24"/>
          <w:szCs w:val="24"/>
        </w:rPr>
      </w:pPr>
      <w:r>
        <w:rPr>
          <w:rFonts w:ascii="Times New Roman" w:hAnsi="Times New Roman" w:cs="Times New Roman"/>
          <w:b/>
          <w:bCs/>
          <w:sz w:val="24"/>
          <w:szCs w:val="24"/>
        </w:rPr>
        <w:t>4.</w:t>
      </w:r>
      <w:r w:rsidR="00F75DA3" w:rsidRPr="00F75DA3">
        <w:rPr>
          <w:rFonts w:ascii="Times New Roman" w:hAnsi="Times New Roman" w:cs="Times New Roman"/>
          <w:b/>
          <w:bCs/>
          <w:sz w:val="24"/>
          <w:szCs w:val="24"/>
        </w:rPr>
        <w:t>Article title:</w:t>
      </w:r>
      <w:r w:rsidR="00F75DA3" w:rsidRPr="00F75DA3">
        <w:rPr>
          <w:rFonts w:ascii="Times New Roman" w:hAnsi="Times New Roman" w:cs="Times New Roman"/>
          <w:sz w:val="24"/>
          <w:szCs w:val="24"/>
        </w:rPr>
        <w:t xml:space="preserve"> The Impact of Service-Learning Methodology on Business Schools’ Students Worldwide</w:t>
      </w:r>
    </w:p>
    <w:p w14:paraId="55511EF4" w14:textId="7D89367E" w:rsidR="00F75DA3" w:rsidRPr="00F75DA3" w:rsidRDefault="00F75DA3" w:rsidP="00F75DA3">
      <w:pPr>
        <w:jc w:val="both"/>
        <w:rPr>
          <w:rFonts w:ascii="Times New Roman" w:hAnsi="Times New Roman" w:cs="Times New Roman"/>
          <w:sz w:val="24"/>
          <w:szCs w:val="24"/>
        </w:rPr>
      </w:pPr>
      <w:r w:rsidRPr="00F75DA3">
        <w:rPr>
          <w:rFonts w:ascii="Times New Roman" w:hAnsi="Times New Roman" w:cs="Times New Roman"/>
          <w:b/>
          <w:bCs/>
          <w:sz w:val="24"/>
          <w:szCs w:val="24"/>
        </w:rPr>
        <w:t>Author:</w:t>
      </w:r>
      <w:r w:rsidRPr="00F75DA3">
        <w:rPr>
          <w:rFonts w:ascii="Times New Roman" w:hAnsi="Times New Roman" w:cs="Times New Roman"/>
          <w:sz w:val="24"/>
          <w:szCs w:val="24"/>
        </w:rPr>
        <w:t xml:space="preserve"> Marta Marco-</w:t>
      </w:r>
      <w:proofErr w:type="spellStart"/>
      <w:r w:rsidRPr="00F75DA3">
        <w:rPr>
          <w:rFonts w:ascii="Times New Roman" w:hAnsi="Times New Roman" w:cs="Times New Roman"/>
          <w:sz w:val="24"/>
          <w:szCs w:val="24"/>
        </w:rPr>
        <w:t>Gardoqui</w:t>
      </w:r>
      <w:proofErr w:type="spellEnd"/>
      <w:r w:rsidRPr="00F75DA3">
        <w:rPr>
          <w:rFonts w:ascii="Times New Roman" w:hAnsi="Times New Roman" w:cs="Times New Roman"/>
          <w:sz w:val="24"/>
          <w:szCs w:val="24"/>
        </w:rPr>
        <w:t xml:space="preserve"> </w:t>
      </w:r>
    </w:p>
    <w:p w14:paraId="50285033" w14:textId="624A578A" w:rsidR="00F75DA3" w:rsidRPr="00F75DA3" w:rsidRDefault="00F75DA3" w:rsidP="00F75DA3">
      <w:pPr>
        <w:jc w:val="both"/>
        <w:rPr>
          <w:rFonts w:ascii="Times New Roman" w:hAnsi="Times New Roman" w:cs="Times New Roman"/>
          <w:b/>
          <w:bCs/>
          <w:sz w:val="24"/>
          <w:szCs w:val="24"/>
        </w:rPr>
      </w:pPr>
      <w:r w:rsidRPr="00F75DA3">
        <w:rPr>
          <w:rFonts w:ascii="Times New Roman" w:hAnsi="Times New Roman" w:cs="Times New Roman"/>
          <w:b/>
          <w:bCs/>
          <w:sz w:val="24"/>
          <w:szCs w:val="24"/>
        </w:rPr>
        <w:t>Article summary:</w:t>
      </w:r>
    </w:p>
    <w:p w14:paraId="17971746" w14:textId="2D218F8A" w:rsidR="00F75DA3" w:rsidRPr="00F75DA3" w:rsidRDefault="00F75DA3" w:rsidP="00F75DA3">
      <w:pPr>
        <w:jc w:val="both"/>
        <w:rPr>
          <w:rFonts w:ascii="Times New Roman" w:hAnsi="Times New Roman" w:cs="Times New Roman"/>
          <w:sz w:val="24"/>
          <w:szCs w:val="24"/>
        </w:rPr>
      </w:pPr>
      <w:r w:rsidRPr="00F75DA3">
        <w:rPr>
          <w:rFonts w:ascii="Times New Roman" w:hAnsi="Times New Roman" w:cs="Times New Roman"/>
          <w:sz w:val="24"/>
          <w:szCs w:val="24"/>
        </w:rPr>
        <w:t>This article examines how service-learning affects students in business schools around the world. Service-learning is an educational approach in which students apply academic knowledge while working on projects that benefit communities. The authors conducted a systematic literature review of 32 previous studies involving more than 4,000 business students. They collected research from major academic databases, including Web of Science, Scopus, and ERIC, and followed PRISMA guidelines for systematic reviews. The findings show that service-learning produces positive academic, personal, social, and civic outcomes. The most commonly reported result was increased social engagement among students. Students also improved skills such as teamwork, communication, leadership, problem-solving, and ethical decision-making. The review suggests that service-learning connects business education with real social needs and helps students become more responsible citizens. The authors argue that universities and teachers should use this methodology because it supports both professional development and community involvement. Overall, the study presents service-learning as a valuable strategy for developing well-rounded business graduates.</w:t>
      </w:r>
    </w:p>
    <w:p w14:paraId="562B8194" w14:textId="77777777" w:rsidR="00F75DA3" w:rsidRPr="00F75DA3" w:rsidRDefault="00F75DA3" w:rsidP="00F75DA3">
      <w:pPr>
        <w:jc w:val="both"/>
        <w:rPr>
          <w:rFonts w:ascii="Times New Roman" w:hAnsi="Times New Roman" w:cs="Times New Roman"/>
          <w:sz w:val="24"/>
          <w:szCs w:val="24"/>
        </w:rPr>
      </w:pPr>
    </w:p>
    <w:p w14:paraId="2B84EBF7" w14:textId="77777777" w:rsidR="00673FF6" w:rsidRDefault="00673FF6" w:rsidP="00F75DA3">
      <w:pPr>
        <w:jc w:val="both"/>
        <w:rPr>
          <w:rFonts w:ascii="Times New Roman" w:hAnsi="Times New Roman" w:cs="Times New Roman"/>
          <w:b/>
          <w:bCs/>
          <w:sz w:val="24"/>
          <w:szCs w:val="24"/>
        </w:rPr>
      </w:pPr>
    </w:p>
    <w:p w14:paraId="03069471" w14:textId="77777777" w:rsidR="00673FF6" w:rsidRDefault="00673FF6" w:rsidP="00F75DA3">
      <w:pPr>
        <w:jc w:val="both"/>
        <w:rPr>
          <w:rFonts w:ascii="Times New Roman" w:hAnsi="Times New Roman" w:cs="Times New Roman"/>
          <w:b/>
          <w:bCs/>
          <w:sz w:val="24"/>
          <w:szCs w:val="24"/>
        </w:rPr>
      </w:pPr>
    </w:p>
    <w:p w14:paraId="0292D865" w14:textId="77777777" w:rsidR="00673FF6" w:rsidRDefault="00673FF6" w:rsidP="00F75DA3">
      <w:pPr>
        <w:jc w:val="both"/>
        <w:rPr>
          <w:rFonts w:ascii="Times New Roman" w:hAnsi="Times New Roman" w:cs="Times New Roman"/>
          <w:b/>
          <w:bCs/>
          <w:sz w:val="24"/>
          <w:szCs w:val="24"/>
        </w:rPr>
      </w:pPr>
    </w:p>
    <w:p w14:paraId="1A648B9C" w14:textId="2E7967E0" w:rsidR="00F75DA3" w:rsidRPr="00F75DA3" w:rsidRDefault="00673FF6" w:rsidP="00F75DA3">
      <w:pPr>
        <w:jc w:val="both"/>
        <w:rPr>
          <w:rFonts w:ascii="Times New Roman" w:hAnsi="Times New Roman" w:cs="Times New Roman"/>
          <w:sz w:val="24"/>
          <w:szCs w:val="24"/>
        </w:rPr>
      </w:pPr>
      <w:r>
        <w:rPr>
          <w:rFonts w:ascii="Times New Roman" w:hAnsi="Times New Roman" w:cs="Times New Roman"/>
          <w:b/>
          <w:bCs/>
          <w:sz w:val="24"/>
          <w:szCs w:val="24"/>
        </w:rPr>
        <w:lastRenderedPageBreak/>
        <w:t>5.</w:t>
      </w:r>
      <w:r w:rsidR="00F75DA3" w:rsidRPr="00F75DA3">
        <w:rPr>
          <w:rFonts w:ascii="Times New Roman" w:hAnsi="Times New Roman" w:cs="Times New Roman"/>
          <w:b/>
          <w:bCs/>
          <w:sz w:val="24"/>
          <w:szCs w:val="24"/>
        </w:rPr>
        <w:t>Article title:</w:t>
      </w:r>
      <w:r w:rsidR="00F75DA3" w:rsidRPr="00F75DA3">
        <w:rPr>
          <w:rFonts w:ascii="Times New Roman" w:hAnsi="Times New Roman" w:cs="Times New Roman"/>
          <w:sz w:val="24"/>
          <w:szCs w:val="24"/>
        </w:rPr>
        <w:t xml:space="preserve"> Bridging Generation Gaps Through Service-Learning in Higher Education</w:t>
      </w:r>
    </w:p>
    <w:p w14:paraId="1E4C9579" w14:textId="77777777" w:rsidR="00F75DA3" w:rsidRPr="00F75DA3" w:rsidRDefault="00F75DA3" w:rsidP="00F75DA3">
      <w:pPr>
        <w:jc w:val="both"/>
        <w:rPr>
          <w:rFonts w:ascii="Times New Roman" w:hAnsi="Times New Roman" w:cs="Times New Roman"/>
          <w:sz w:val="24"/>
          <w:szCs w:val="24"/>
        </w:rPr>
      </w:pPr>
      <w:r w:rsidRPr="00F75DA3">
        <w:rPr>
          <w:rFonts w:ascii="Times New Roman" w:hAnsi="Times New Roman" w:cs="Times New Roman"/>
          <w:b/>
          <w:bCs/>
          <w:sz w:val="24"/>
          <w:szCs w:val="24"/>
        </w:rPr>
        <w:t>Author:</w:t>
      </w:r>
      <w:r w:rsidRPr="00F75DA3">
        <w:rPr>
          <w:rFonts w:ascii="Times New Roman" w:hAnsi="Times New Roman" w:cs="Times New Roman"/>
          <w:sz w:val="24"/>
          <w:szCs w:val="24"/>
        </w:rPr>
        <w:t xml:space="preserve"> Almudena </w:t>
      </w:r>
      <w:proofErr w:type="spellStart"/>
      <w:r w:rsidRPr="00F75DA3">
        <w:rPr>
          <w:rFonts w:ascii="Times New Roman" w:hAnsi="Times New Roman" w:cs="Times New Roman"/>
          <w:sz w:val="24"/>
          <w:szCs w:val="24"/>
        </w:rPr>
        <w:t>Eizaguirre</w:t>
      </w:r>
      <w:proofErr w:type="spellEnd"/>
    </w:p>
    <w:p w14:paraId="691D2F74" w14:textId="19332656" w:rsidR="00F75DA3" w:rsidRPr="00F75DA3" w:rsidRDefault="00F75DA3" w:rsidP="00F75DA3">
      <w:pPr>
        <w:jc w:val="both"/>
        <w:rPr>
          <w:rFonts w:ascii="Times New Roman" w:hAnsi="Times New Roman" w:cs="Times New Roman"/>
          <w:b/>
          <w:bCs/>
          <w:sz w:val="24"/>
          <w:szCs w:val="24"/>
        </w:rPr>
      </w:pPr>
      <w:r w:rsidRPr="00F75DA3">
        <w:rPr>
          <w:rFonts w:ascii="Times New Roman" w:hAnsi="Times New Roman" w:cs="Times New Roman"/>
          <w:b/>
          <w:bCs/>
          <w:sz w:val="24"/>
          <w:szCs w:val="24"/>
        </w:rPr>
        <w:t>Article summary:</w:t>
      </w:r>
    </w:p>
    <w:p w14:paraId="7A3B0AE0" w14:textId="62543863" w:rsidR="00F75DA3" w:rsidRPr="00F75DA3" w:rsidRDefault="00F75DA3" w:rsidP="00F75DA3">
      <w:pPr>
        <w:jc w:val="both"/>
        <w:rPr>
          <w:rFonts w:ascii="Times New Roman" w:hAnsi="Times New Roman" w:cs="Times New Roman"/>
          <w:sz w:val="24"/>
          <w:szCs w:val="24"/>
        </w:rPr>
      </w:pPr>
      <w:r w:rsidRPr="00F75DA3">
        <w:rPr>
          <w:rFonts w:ascii="Times New Roman" w:hAnsi="Times New Roman" w:cs="Times New Roman"/>
          <w:sz w:val="24"/>
          <w:szCs w:val="24"/>
        </w:rPr>
        <w:t>Service-learning can connect university students with older adults and reduce the gap between generations. The article is a systematic review of 28 research studies selected from Scopus, ERIC, and Web of Science using PRISMA guidelines. It shows that intergenerational service-learning combines academic learning with meaningful community service. Students benefit by improving their communication, empathy, teamwork, professional skills, and understanding of ageing. These experiences also help students challenge negative stereotypes about older people and develop greater social responsibility. Older participants benefit through companionship, reduced isolation, increased self-esteem, learning opportunities, and more personalized support. Universities and community organizations also benefit by forming partnerships that address social needs. However, the authors note challenges such as scheduling, transportation, limited preparation of students, and insufficient institutional recognition for teachers. The review concludes that well-planned service-learning can promote social inclusion, intergenerational understanding, and community well-being, although more long-term and rigorous research is needed.</w:t>
      </w:r>
    </w:p>
    <w:sectPr w:rsidR="00F75DA3" w:rsidRPr="00F75DA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DA3"/>
    <w:rsid w:val="00673FF6"/>
    <w:rsid w:val="007665C3"/>
    <w:rsid w:val="00CE6A55"/>
    <w:rsid w:val="00ED1FFA"/>
    <w:rsid w:val="00F75DA3"/>
    <w:rsid w:val="00FB58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F385E"/>
  <w15:chartTrackingRefBased/>
  <w15:docId w15:val="{780AB254-41D8-4BB5-A079-9A7B6580B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D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D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D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D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D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D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D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D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D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D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DA3"/>
    <w:rPr>
      <w:rFonts w:eastAsiaTheme="majorEastAsia" w:cstheme="majorBidi"/>
      <w:color w:val="272727" w:themeColor="text1" w:themeTint="D8"/>
    </w:rPr>
  </w:style>
  <w:style w:type="paragraph" w:styleId="Title">
    <w:name w:val="Title"/>
    <w:basedOn w:val="Normal"/>
    <w:next w:val="Normal"/>
    <w:link w:val="TitleChar"/>
    <w:uiPriority w:val="10"/>
    <w:qFormat/>
    <w:rsid w:val="00F75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DA3"/>
    <w:pPr>
      <w:spacing w:before="160"/>
      <w:jc w:val="center"/>
    </w:pPr>
    <w:rPr>
      <w:i/>
      <w:iCs/>
      <w:color w:val="404040" w:themeColor="text1" w:themeTint="BF"/>
    </w:rPr>
  </w:style>
  <w:style w:type="character" w:customStyle="1" w:styleId="QuoteChar">
    <w:name w:val="Quote Char"/>
    <w:basedOn w:val="DefaultParagraphFont"/>
    <w:link w:val="Quote"/>
    <w:uiPriority w:val="29"/>
    <w:rsid w:val="00F75DA3"/>
    <w:rPr>
      <w:i/>
      <w:iCs/>
      <w:color w:val="404040" w:themeColor="text1" w:themeTint="BF"/>
    </w:rPr>
  </w:style>
  <w:style w:type="paragraph" w:styleId="ListParagraph">
    <w:name w:val="List Paragraph"/>
    <w:basedOn w:val="Normal"/>
    <w:uiPriority w:val="34"/>
    <w:qFormat/>
    <w:rsid w:val="00F75DA3"/>
    <w:pPr>
      <w:ind w:left="720"/>
      <w:contextualSpacing/>
    </w:pPr>
  </w:style>
  <w:style w:type="character" w:styleId="IntenseEmphasis">
    <w:name w:val="Intense Emphasis"/>
    <w:basedOn w:val="DefaultParagraphFont"/>
    <w:uiPriority w:val="21"/>
    <w:qFormat/>
    <w:rsid w:val="00F75DA3"/>
    <w:rPr>
      <w:i/>
      <w:iCs/>
      <w:color w:val="2F5496" w:themeColor="accent1" w:themeShade="BF"/>
    </w:rPr>
  </w:style>
  <w:style w:type="paragraph" w:styleId="IntenseQuote">
    <w:name w:val="Intense Quote"/>
    <w:basedOn w:val="Normal"/>
    <w:next w:val="Normal"/>
    <w:link w:val="IntenseQuoteChar"/>
    <w:uiPriority w:val="30"/>
    <w:qFormat/>
    <w:rsid w:val="00F75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DA3"/>
    <w:rPr>
      <w:i/>
      <w:iCs/>
      <w:color w:val="2F5496" w:themeColor="accent1" w:themeShade="BF"/>
    </w:rPr>
  </w:style>
  <w:style w:type="character" w:styleId="IntenseReference">
    <w:name w:val="Intense Reference"/>
    <w:basedOn w:val="DefaultParagraphFont"/>
    <w:uiPriority w:val="32"/>
    <w:qFormat/>
    <w:rsid w:val="00F75D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994</Words>
  <Characters>5670</Characters>
  <Application>Microsoft Office Word</Application>
  <DocSecurity>0</DocSecurity>
  <Lines>47</Lines>
  <Paragraphs>13</Paragraphs>
  <ScaleCrop>false</ScaleCrop>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 M D</dc:creator>
  <cp:keywords/>
  <dc:description/>
  <cp:lastModifiedBy>HEMA M D</cp:lastModifiedBy>
  <cp:revision>2</cp:revision>
  <dcterms:created xsi:type="dcterms:W3CDTF">2026-10-06T13:35:00Z</dcterms:created>
  <dcterms:modified xsi:type="dcterms:W3CDTF">2026-10-06T13:35:00Z</dcterms:modified>
</cp:coreProperties>
</file>