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Pr="00817C73" w:rsidRDefault="00817C73" w:rsidP="00817C73">
      <w:pPr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proofErr w:type="gram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 graphical history viewer. Think of it like a powerful GUI shell over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grep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easiest to invoke from the command-line. Just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cd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into a Git repository, and type: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17C73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17C73">
        <w:rPr>
          <w:rFonts w:ascii="mplus1mn-regular" w:eastAsia="mplus1mn-regular" w:cs="mplus1mn-regular"/>
          <w:color w:val="333333"/>
          <w:lang w:val="en-US"/>
        </w:rPr>
        <w:t>gitk</w:t>
      </w:r>
      <w:proofErr w:type="spellEnd"/>
      <w:proofErr w:type="gram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[</w:t>
      </w:r>
      <w:proofErr w:type="spellStart"/>
      <w:r w:rsidRPr="00817C73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log options]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accepts many command-line options, most of which are passed through to the underlying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action. Probably one of the most useful is the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flag, which tells </w:t>
      </w: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 show commits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reachable from </w:t>
      </w:r>
      <w:r w:rsidRPr="00817C73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any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ref, not just HEAD.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proofErr w:type="spellEnd"/>
      <w:proofErr w:type="gram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gui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Pro Git (Vf)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abrev</w:t>
      </w:r>
      <w:proofErr w:type="spellEnd"/>
      <w:r>
        <w:rPr>
          <w:rFonts w:ascii="mplus1mn-regular" w:eastAsia="mplus1mn-regular" w:cs="mplus1mn-regular"/>
          <w:color w:val="333333"/>
        </w:rPr>
        <w:t xml:space="preserve">-commit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pretty</w:t>
      </w:r>
      <w:proofErr w:type="spellEnd"/>
      <w:r>
        <w:rPr>
          <w:rFonts w:ascii="mplus1mn-regular" w:eastAsia="mplus1mn-regular" w:cs="mplus1mn-regular"/>
          <w:color w:val="333333"/>
        </w:rPr>
        <w:t>=</w:t>
      </w:r>
      <w:proofErr w:type="spellStart"/>
      <w:r>
        <w:rPr>
          <w:rFonts w:ascii="mplus1mn-regular" w:eastAsia="mplus1mn-regular" w:cs="mplus1mn-regular"/>
          <w:color w:val="333333"/>
        </w:rPr>
        <w:t>oneline</w:t>
      </w:r>
      <w:proofErr w:type="spellEnd"/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Pour connaitre l</w:t>
      </w:r>
      <w:r>
        <w:rPr>
          <w:rFonts w:ascii="mplus1mn-regular" w:eastAsia="mplus1mn-regular" w:cs="mplus1mn-regular"/>
          <w:color w:val="333333"/>
        </w:rPr>
        <w:t>’</w:t>
      </w:r>
      <w:r>
        <w:rPr>
          <w:rFonts w:ascii="mplus1mn-regular" w:eastAsia="mplus1mn-regular" w:cs="mplus1mn-regular"/>
          <w:color w:val="333333"/>
        </w:rPr>
        <w:t xml:space="preserve">empreinte SHA sur laquelle pointe une branche 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rev-parse</w:t>
      </w:r>
      <w:proofErr w:type="spellEnd"/>
      <w:r>
        <w:rPr>
          <w:rFonts w:ascii="mplus1mn-regular" w:eastAsia="mplus1mn-regular" w:cs="mplus1mn-regular"/>
          <w:color w:val="333333"/>
        </w:rPr>
        <w:t xml:space="preserve"> topic1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maintient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arriere-plan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historique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et vos branches sur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les derniers mois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ceci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appelle le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  <w:r>
        <w:rPr>
          <w:rFonts w:ascii="NotoSerif" w:eastAsia="NotoSerif" w:cs="NotoSerif"/>
          <w:color w:val="333333"/>
          <w:sz w:val="21"/>
          <w:szCs w:val="21"/>
        </w:rPr>
        <w:t xml:space="preserve">Vous pouvez le consulter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reflog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n-ieme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antecedent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HEAD, vous pouvez utiliser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n}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5 dans cet exemple 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</w:t>
      </w:r>
      <w:proofErr w:type="gramStart"/>
      <w:r>
        <w:rPr>
          <w:rFonts w:ascii="mplus1mn-regular" w:eastAsia="mplus1mn-regular" w:cs="mplus1mn-regular"/>
          <w:color w:val="333333"/>
        </w:rPr>
        <w:t>git</w:t>
      </w:r>
      <w:proofErr w:type="gramEnd"/>
      <w:r>
        <w:rPr>
          <w:rFonts w:ascii="mplus1mn-regular" w:eastAsia="mplus1mn-regular" w:cs="mplus1mn-regular"/>
          <w:color w:val="333333"/>
        </w:rPr>
        <w:t xml:space="preserve"> show HEAD@{5}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format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: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  <w:r w:rsidRPr="00EE0BC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Veuillez noter que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stocke que des informations locales,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un historique de ce que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avez fait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Alors, vous pouvez consulter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</w:t>
      </w:r>
      <w:r>
        <w:rPr>
          <w:rFonts w:ascii="NotoSerif" w:eastAsia="NotoSerif" w:cs="NotoSerif" w:hint="eastAsia"/>
          <w:color w:val="333333"/>
          <w:sz w:val="21"/>
          <w:szCs w:val="21"/>
        </w:rPr>
        <w:t>, ce qui signifie ≪ le parent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HEAD ≫:</w:t>
      </w:r>
    </w:p>
    <w:p w:rsidR="003B7666" w:rsidRDefault="003B766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par exemple,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d921970^2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le second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parent de d921970 ≫. Cette syntaxe ne sert que pour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fusion, qui ont plus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 parent.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premier parent est la branche depuis laquelle vous avez fusionne, et le second est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>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la branche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Pr="00EE0BC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solution courante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est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>~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premier parent, donc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HEAD^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apparait si vous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nombre.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HEAD~2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le premier parent du premier parent ≫, ou bien ≪ 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grandparent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bookmarkStart w:id="0" w:name="_GoBack"/>
      <w:bookmarkEnd w:id="0"/>
      <w:r>
        <w:rPr>
          <w:rFonts w:ascii="NotoSerif" w:eastAsia="NotoSerif" w:cs="NotoSerif" w:hint="eastAsia"/>
          <w:color w:val="333333"/>
          <w:sz w:val="21"/>
          <w:szCs w:val="21"/>
        </w:rPr>
        <w:t>≫ ; on remonte les premiers parents autant de fois que demande.</w:t>
      </w:r>
    </w:p>
    <w:sectPr w:rsidR="003B7666" w:rsidRPr="00EE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571FE"/>
    <w:rsid w:val="003B7666"/>
    <w:rsid w:val="00703BA0"/>
    <w:rsid w:val="00750442"/>
    <w:rsid w:val="00817C73"/>
    <w:rsid w:val="00DE6F20"/>
    <w:rsid w:val="00E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james hoho</cp:lastModifiedBy>
  <cp:revision>2</cp:revision>
  <dcterms:created xsi:type="dcterms:W3CDTF">2018-09-18T08:21:00Z</dcterms:created>
  <dcterms:modified xsi:type="dcterms:W3CDTF">2018-09-23T18:08:00Z</dcterms:modified>
</cp:coreProperties>
</file>