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Override ContentType="application/vnd.openxmlformats-officedocument.wordprocessingml.header+xml" PartName="/word/header8.xml"/>
  <Override ContentType="application/vnd.openxmlformats-officedocument.wordprocessingml.footer+xml" PartName="/word/footer8.xml"/>
  <Override ContentType="application/vnd.openxmlformats-officedocument.wordprocessingml.header+xml" PartName="/word/header9.xml"/>
  <Override ContentType="application/vnd.openxmlformats-officedocument.wordprocessingml.footer+xml" PartName="/word/footer9.xml"/>
  <Override ContentType="application/vnd.openxmlformats-officedocument.wordprocessingml.header+xml" PartName="/word/header10.xml"/>
  <Override ContentType="application/vnd.openxmlformats-officedocument.wordprocessingml.footer+xml" PartName="/word/footer10.xml"/>
  <Override ContentType="application/vnd.openxmlformats-officedocument.wordprocessingml.header+xml" PartName="/word/header11.xml"/>
  <Override ContentType="application/vnd.openxmlformats-officedocument.wordprocessingml.footer+xml" PartName="/word/footer11.xml"/>
  <Override ContentType="application/vnd.openxmlformats-officedocument.wordprocessingml.header+xml" PartName="/word/header12.xml"/>
  <Override ContentType="application/vnd.openxmlformats-officedocument.wordprocessingml.footer+xml" PartName="/word/footer1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
        <w:jc w:val="center"/>
      </w:pPr>
      <w:r>
        <w:rPr>
          <w:rFonts w:ascii="Calibri" w:cs="Calibri" w:eastAsia="Calibri" w:hAnsi="Calibri"/>
          <w:b/>
          <w:bCs/>
          <w:color w:val="2E6E8E"/>
          <w:spacing w:val="20"/>
          <w:sz w:val="19"/>
          <w:szCs w:val="19"/>
        </w:rPr>
        <w:t xml:space="preserve">SOFTWARE ENGINEERING 381  |  SEN381</w:t>
      </w:r>
    </w:p>
    <w:p>
      <w:pPr>
        <w:spacing w:after="40"/>
        <w:jc w:val="center"/>
      </w:pPr>
      <w:r>
        <w:rPr>
          <w:rFonts w:ascii="Calibri" w:cs="Calibri" w:eastAsia="Calibri" w:hAnsi="Calibri"/>
          <w:b/>
          <w:bCs/>
          <w:color w:val="1F3B5C"/>
          <w:sz w:val="52"/>
          <w:szCs w:val="52"/>
        </w:rPr>
        <w:t xml:space="preserve">CivicConnect</w:t>
      </w:r>
    </w:p>
    <w:p>
      <w:pPr>
        <w:spacing w:after="40"/>
        <w:jc w:val="center"/>
      </w:pPr>
      <w:r>
        <w:rPr>
          <w:rFonts w:ascii="Calibri" w:cs="Calibri" w:eastAsia="Calibri" w:hAnsi="Calibri"/>
          <w:color w:val="1F3B5C"/>
          <w:sz w:val="30"/>
          <w:szCs w:val="30"/>
        </w:rPr>
        <w:t xml:space="preserve">Project Engineering Document (PED) v1.0</w:t>
      </w:r>
    </w:p>
    <w:p>
      <w:pPr>
        <w:spacing w:after="300"/>
        <w:jc w:val="center"/>
      </w:pPr>
      <w:r>
        <w:rPr>
          <w:rFonts w:ascii="Calibri" w:cs="Calibri" w:eastAsia="Calibri" w:hAnsi="Calibri"/>
          <w:i/>
          <w:iCs/>
          <w:color w:val="5C6B7A"/>
          <w:sz w:val="24"/>
          <w:szCs w:val="24"/>
        </w:rPr>
        <w:t xml:space="preserve">Engineering Foundation and Requirements Baseline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350"/>
        <w:gridCol w:w="7050"/>
      </w:tblGrid>
      <w:tr>
        <w:trPr>
          <w:tblHeader w:val="false"/>
        </w:trPr>
        <w:tc>
          <w:tcPr>
            <w:tcW w:type="dxa" w:w="235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8"/>
                <w:szCs w:val="18"/>
              </w:rPr>
              <w:t xml:space="preserve">Project</w:t>
            </w:r>
          </w:p>
        </w:tc>
        <w:tc>
          <w:tcPr>
            <w:tcW w:type="dxa" w:w="7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8"/>
                <w:szCs w:val="18"/>
              </w:rPr>
              <w:t xml:space="preserve">CivicConnect - Community Service Request Management Platform</w:t>
            </w:r>
          </w:p>
        </w:tc>
      </w:tr>
      <w:tr>
        <w:trPr>
          <w:tblHeader w:val="false"/>
        </w:trPr>
        <w:tc>
          <w:tcPr>
            <w:tcW w:type="dxa" w:w="235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8"/>
                <w:szCs w:val="18"/>
              </w:rPr>
              <w:t xml:space="preserve">Milestone</w:t>
            </w:r>
          </w:p>
        </w:tc>
        <w:tc>
          <w:tcPr>
            <w:tcW w:type="dxa" w:w="7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8"/>
                <w:szCs w:val="18"/>
              </w:rPr>
              <w:t xml:space="preserve">Milestone 1 - Engineering Foundation and Requirements Baseline</w:t>
            </w:r>
          </w:p>
        </w:tc>
      </w:tr>
      <w:tr>
        <w:trPr>
          <w:tblHeader w:val="false"/>
        </w:trPr>
        <w:tc>
          <w:tcPr>
            <w:tcW w:type="dxa" w:w="235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8"/>
                <w:szCs w:val="18"/>
              </w:rPr>
              <w:t xml:space="preserve">Document</w:t>
            </w:r>
          </w:p>
        </w:tc>
        <w:tc>
          <w:tcPr>
            <w:tcW w:type="dxa" w:w="7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8"/>
                <w:szCs w:val="18"/>
              </w:rPr>
              <w:t xml:space="preserve">PED v1.0. This document evolves through v2.0, v3.0 and v4.0; it is not recreated per milestone (Master Brief, s6).</w:t>
            </w:r>
          </w:p>
        </w:tc>
      </w:tr>
      <w:tr>
        <w:trPr>
          <w:tblHeader w:val="false"/>
        </w:trPr>
        <w:tc>
          <w:tcPr>
            <w:tcW w:type="dxa" w:w="235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8"/>
                <w:szCs w:val="18"/>
              </w:rPr>
              <w:t xml:space="preserve">Team</w:t>
            </w:r>
          </w:p>
        </w:tc>
        <w:tc>
          <w:tcPr>
            <w:tcW w:type="dxa" w:w="7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8"/>
                <w:szCs w:val="18"/>
              </w:rPr>
              <w:t xml:space="preserve">[Member 1 - student number]   |   [Member 2 - student number]   |   Darius Mushi - 577982</w:t>
            </w:r>
          </w:p>
        </w:tc>
      </w:tr>
      <w:tr>
        <w:trPr>
          <w:tblHeader w:val="false"/>
        </w:trPr>
        <w:tc>
          <w:tcPr>
            <w:tcW w:type="dxa" w:w="235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8"/>
                <w:szCs w:val="18"/>
              </w:rPr>
              <w:t xml:space="preserve">Baseline status</w:t>
            </w:r>
          </w:p>
        </w:tc>
        <w:tc>
          <w:tcPr>
            <w:tcW w:type="dxa" w:w="7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8"/>
                <w:szCs w:val="18"/>
              </w:rPr>
              <w:t xml:space="preserve">[DRAFT / BASELINED]   -   date [insert]</w:t>
            </w:r>
          </w:p>
        </w:tc>
      </w:tr>
      <w:tr>
        <w:trPr>
          <w:tblHeader w:val="false"/>
        </w:trPr>
        <w:tc>
          <w:tcPr>
            <w:tcW w:type="dxa" w:w="235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8"/>
                <w:szCs w:val="18"/>
              </w:rPr>
              <w:t xml:space="preserve">Controlled artefacts</w:t>
            </w:r>
          </w:p>
        </w:tc>
        <w:tc>
          <w:tcPr>
            <w:tcW w:type="dxa" w:w="7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8"/>
                <w:szCs w:val="18"/>
              </w:rPr>
              <w:t xml:space="preserve">This document, plus the registers workbook (Requirements, RTM, Risk, Decision Log, Forward Considerations, AI Usage, Change Requests, Status Model, Access Matrix, Working Agreement, Governance, Sign-off).</w:t>
            </w:r>
          </w:p>
        </w:tc>
      </w:tr>
      <w:tr>
        <w:trPr>
          <w:tblHeader w:val="false"/>
        </w:trPr>
        <w:tc>
          <w:tcPr>
            <w:tcW w:type="dxa" w:w="235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8"/>
                <w:szCs w:val="18"/>
              </w:rPr>
              <w:t xml:space="preserve">Repository</w:t>
            </w:r>
          </w:p>
        </w:tc>
        <w:tc>
          <w:tcPr>
            <w:tcW w:type="dxa" w:w="7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8"/>
                <w:szCs w:val="18"/>
              </w:rPr>
              <w:t xml:space="preserve">[Insert team repository URL]</w:t>
            </w:r>
          </w:p>
        </w:tc>
      </w:tr>
      <w:tr>
        <w:trPr>
          <w:tblHeader w:val="false"/>
        </w:trPr>
        <w:tc>
          <w:tcPr>
            <w:tcW w:type="dxa" w:w="235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8"/>
                <w:szCs w:val="18"/>
              </w:rPr>
              <w:t xml:space="preserve">Referencing</w:t>
            </w:r>
          </w:p>
        </w:tc>
        <w:tc>
          <w:tcPr>
            <w:tcW w:type="dxa" w:w="7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8"/>
                <w:szCs w:val="18"/>
              </w:rPr>
              <w:t xml:space="preserve">Harvard, applied in-text and in the reference list (s17).</w:t>
            </w:r>
          </w:p>
        </w:tc>
      </w:tr>
    </w:tbl>
    <w:p>
      <w:pPr>
        <w:spacing w:after="22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400"/>
      </w:tblGrid>
      <w:tr>
        <w:tc>
          <w:tcPr>
            <w:tcW w:type="dxa" w:w="9400"/>
            <w:tcBorders>
              <w:top w:val="single" w:color="EAF1F6" w:sz="4"/>
              <w:left w:val="single" w:color="1F3B5C" w:sz="18"/>
              <w:bottom w:val="single" w:color="EAF1F6" w:sz="4"/>
              <w:right w:val="single" w:color="EAF1F6" w:sz="4"/>
            </w:tcBorders>
            <w:shd w:fill="EAF1F6" w:color="auto" w:val="clear"/>
            <w:tcMar>
              <w:top w:type="dxa" w:w="125"/>
              <w:left w:type="dxa" w:w="155"/>
              <w:bottom w:type="dxa" w:w="125"/>
              <w:right w:type="dxa" w:w="155"/>
            </w:tcMar>
          </w:tcPr>
          <w:p>
            <w:pPr>
              <w:spacing w:after="60" w:before="0" w:line="264"/>
            </w:pPr>
            <w:r>
              <w:rPr>
                <w:rFonts w:ascii="Calibri" w:cs="Calibri" w:eastAsia="Calibri" w:hAnsi="Calibri"/>
                <w:b/>
                <w:bCs/>
                <w:color w:val="1F3B5C"/>
                <w:sz w:val="21"/>
                <w:szCs w:val="21"/>
              </w:rPr>
              <w:t xml:space="preserve">Central engineering question this document answers</w:t>
            </w:r>
          </w:p>
          <w:p>
            <w:pPr>
              <w:spacing w:after="0" w:before="0" w:line="264"/>
            </w:pPr>
            <w:r>
              <w:rPr>
                <w:rFonts w:ascii="Calibri" w:cs="Calibri" w:eastAsia="Calibri" w:hAnsi="Calibri"/>
                <w:color w:val="22303F"/>
                <w:sz w:val="20"/>
                <w:szCs w:val="20"/>
              </w:rPr>
              <w:t xml:space="preserve">What exactly are we committing to engineer, for whom, within what constraints, and what must we consider now to avoid unnecessarily constraining the project later?</w:t>
            </w:r>
          </w:p>
        </w:tc>
      </w:tr>
    </w:tbl>
    <w:p>
      <w:pPr>
        <w:spacing w:after="18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400"/>
      </w:tblGrid>
      <w:tr>
        <w:tc>
          <w:tcPr>
            <w:tcW w:type="dxa" w:w="9400"/>
            <w:tcBorders>
              <w:top w:val="single" w:color="FDF6E6" w:sz="4"/>
              <w:left w:val="single" w:color="1F3B5C" w:sz="18"/>
              <w:bottom w:val="single" w:color="FDF6E6" w:sz="4"/>
              <w:right w:val="single" w:color="FDF6E6" w:sz="4"/>
            </w:tcBorders>
            <w:shd w:fill="FDF6E6" w:color="auto" w:val="clear"/>
            <w:tcMar>
              <w:top w:type="dxa" w:w="125"/>
              <w:left w:type="dxa" w:w="155"/>
              <w:bottom w:type="dxa" w:w="125"/>
              <w:right w:type="dxa" w:w="155"/>
            </w:tcMar>
          </w:tcPr>
          <w:p>
            <w:pPr>
              <w:spacing w:after="60" w:before="0" w:line="264"/>
            </w:pPr>
            <w:r>
              <w:rPr>
                <w:rFonts w:ascii="Calibri" w:cs="Calibri" w:eastAsia="Calibri" w:hAnsi="Calibri"/>
                <w:b/>
                <w:bCs/>
                <w:color w:val="1F3B5C"/>
                <w:sz w:val="21"/>
                <w:szCs w:val="21"/>
              </w:rPr>
              <w:t xml:space="preserve">Milestone boundary</w:t>
            </w:r>
          </w:p>
          <w:p>
            <w:pPr>
              <w:spacing w:after="90" w:before="0" w:line="264"/>
            </w:pPr>
            <w:r>
              <w:rPr>
                <w:rFonts w:ascii="Calibri" w:cs="Calibri" w:eastAsia="Calibri" w:hAnsi="Calibri"/>
                <w:color w:val="22303F"/>
                <w:sz w:val="20"/>
                <w:szCs w:val="20"/>
              </w:rPr>
              <w:t xml:space="preserve">M1 establishes a controlled foundation. It is deliberately </w:t>
            </w:r>
            <w:r>
              <w:rPr>
                <w:rFonts w:ascii="Calibri" w:cs="Calibri" w:eastAsia="Calibri" w:hAnsi="Calibri"/>
                <w:b/>
                <w:bCs/>
                <w:color w:val="22303F"/>
                <w:sz w:val="20"/>
                <w:szCs w:val="20"/>
              </w:rPr>
              <w:t xml:space="preserve">not</w:t>
            </w:r>
            <w:r>
              <w:rPr>
                <w:rFonts w:ascii="Calibri" w:cs="Calibri" w:eastAsia="Calibri" w:hAnsi="Calibri"/>
                <w:color w:val="22303F"/>
                <w:sz w:val="20"/>
                <w:szCs w:val="20"/>
              </w:rPr>
              <w:t xml:space="preserve"> an architecture, technology-selection or implementation milestone (M1 brief, s5). No technology stack, architecture style, database schema, API, user-interface design, design pattern or CI pipeline is decided in this document.</w:t>
            </w:r>
          </w:p>
          <w:p>
            <w:pPr>
              <w:spacing w:after="0" w:before="0" w:line="264"/>
            </w:pPr>
            <w:r>
              <w:rPr>
                <w:rFonts w:ascii="Calibri" w:cs="Calibri" w:eastAsia="Calibri" w:hAnsi="Calibri"/>
                <w:color w:val="22303F"/>
                <w:sz w:val="20"/>
                <w:szCs w:val="20"/>
              </w:rPr>
              <w:t xml:space="preserve">Four such decisions are recorded in the Engineering Decision Log as </w:t>
            </w:r>
            <w:r>
              <w:rPr>
                <w:rFonts w:ascii="Calibri" w:cs="Calibri" w:eastAsia="Calibri" w:hAnsi="Calibri"/>
                <w:b/>
                <w:bCs/>
                <w:color w:val="22303F"/>
                <w:sz w:val="20"/>
                <w:szCs w:val="20"/>
              </w:rPr>
              <w:t xml:space="preserve">deliberately deferred</w:t>
            </w:r>
            <w:r>
              <w:rPr>
                <w:rFonts w:ascii="Calibri" w:cs="Calibri" w:eastAsia="Calibri" w:hAnsi="Calibri"/>
                <w:color w:val="22303F"/>
                <w:sz w:val="20"/>
                <w:szCs w:val="20"/>
              </w:rPr>
              <w:t xml:space="preserve">, each with the evidence still required before it can responsibly be taken (s13.2). Recording a future constraint is not the same as deciding it.</w:t>
            </w:r>
          </w:p>
        </w:tc>
      </w:tr>
    </w:tbl>
    <w:p>
      <w:pPr>
        <w:pageBreakBefore/>
      </w:pPr>
    </w:p>
    <w:p>
      <w:pPr>
        <w:pStyle w:val="Heading1"/>
        <w:pBdr>
          <w:bottom w:val="single" w:color="1F3B5C" w:sz="8" w:space="4"/>
        </w:pBdr>
        <w:spacing w:after="130" w:before="300"/>
      </w:pPr>
      <w:r>
        <w:rPr>
          <w:rFonts w:ascii="Calibri" w:cs="Calibri" w:eastAsia="Calibri" w:hAnsi="Calibri"/>
          <w:b/>
          <w:bCs/>
          <w:color w:val="1F3B5C"/>
          <w:sz w:val="28"/>
          <w:szCs w:val="28"/>
        </w:rPr>
        <w:t xml:space="preserve">1.  Document Control and Version History</w:t>
      </w:r>
    </w:p>
    <w:p>
      <w:pPr>
        <w:spacing w:after="120" w:before="0" w:line="264"/>
      </w:pPr>
      <w:r>
        <w:rPr>
          <w:rFonts w:ascii="Calibri" w:cs="Calibri" w:eastAsia="Calibri" w:hAnsi="Calibri"/>
          <w:color w:val="22303F"/>
          <w:sz w:val="21"/>
          <w:szCs w:val="21"/>
        </w:rPr>
        <w:t xml:space="preserve">This document is a controlled artefact. Baselined content is not silently overwritten: changes after sign-off enter through the change control process in s12.4 and are recorded here (Master Brief, s6.1).</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100"/>
        <w:gridCol w:w="1200"/>
        <w:gridCol w:w="1600"/>
        <w:gridCol w:w="3300"/>
        <w:gridCol w:w="1500"/>
        <w:gridCol w:w="1700"/>
      </w:tblGrid>
      <w:tr>
        <w:trPr>
          <w:tblHeader/>
        </w:trPr>
        <w:tc>
          <w:tcPr>
            <w:tcW w:type="dxa" w:w="1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Version</w:t>
            </w:r>
          </w:p>
        </w:tc>
        <w:tc>
          <w:tcPr>
            <w:tcW w:type="dxa" w:w="12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Date</w:t>
            </w:r>
          </w:p>
        </w:tc>
        <w:tc>
          <w:tcPr>
            <w:tcW w:type="dxa" w:w="16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Author(s)</w:t>
            </w:r>
          </w:p>
        </w:tc>
        <w:tc>
          <w:tcPr>
            <w:tcW w:type="dxa" w:w="33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Summary of change</w:t>
            </w:r>
          </w:p>
        </w:tc>
        <w:tc>
          <w:tcPr>
            <w:tcW w:type="dxa" w:w="15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Reviewed by</w:t>
            </w:r>
          </w:p>
        </w:tc>
        <w:tc>
          <w:tcPr>
            <w:tcW w:type="dxa" w:w="17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Status</w:t>
            </w:r>
          </w:p>
        </w:tc>
      </w:tr>
      <w:tr>
        <w:trPr>
          <w:tblHeader w:val="false"/>
        </w:trPr>
        <w:tc>
          <w:tcPr>
            <w:tcW w:type="dxa" w:w="1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0.1</w:t>
            </w:r>
          </w:p>
        </w:tc>
        <w:tc>
          <w:tcPr>
            <w:tcW w:type="dxa" w:w="1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[Date]</w:t>
            </w:r>
          </w:p>
        </w:tc>
        <w:tc>
          <w:tcPr>
            <w:tcW w:type="dxa" w:w="16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[Member 1]</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Initial structure, problem statement and stakeholder analysis</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[Member 2], [Member 3]</w:t>
            </w:r>
          </w:p>
        </w:tc>
        <w:tc>
          <w:tcPr>
            <w:tcW w:type="dxa" w:w="1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Superseded</w:t>
            </w:r>
          </w:p>
        </w:tc>
      </w:tr>
      <w:tr>
        <w:trPr>
          <w:tblHeader w:val="false"/>
        </w:trPr>
        <w:tc>
          <w:tcPr>
            <w:tcW w:type="dxa" w:w="1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0.2</w:t>
            </w:r>
          </w:p>
        </w:tc>
        <w:tc>
          <w:tcPr>
            <w:tcW w:type="dxa" w:w="1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[Date]</w:t>
            </w:r>
          </w:p>
        </w:tc>
        <w:tc>
          <w:tcPr>
            <w:tcW w:type="dxa" w:w="16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[Member 2]</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Scope baseline, constraints and constraint interaction analysis</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[Member 1], [Member 3]</w:t>
            </w:r>
          </w:p>
        </w:tc>
        <w:tc>
          <w:tcPr>
            <w:tcW w:type="dxa" w:w="1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Superseded</w:t>
            </w:r>
          </w:p>
        </w:tc>
      </w:tr>
      <w:tr>
        <w:trPr>
          <w:tblHeader w:val="false"/>
        </w:trPr>
        <w:tc>
          <w:tcPr>
            <w:tcW w:type="dxa" w:w="1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0.3</w:t>
            </w:r>
          </w:p>
        </w:tc>
        <w:tc>
          <w:tcPr>
            <w:tcW w:type="dxa" w:w="1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[Date]</w:t>
            </w:r>
          </w:p>
        </w:tc>
        <w:tc>
          <w:tcPr>
            <w:tcW w:type="dxa" w:w="16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[Member 3]</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Functional and non-functional requirements with acceptance criteria</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[Member 1], [Member 2]</w:t>
            </w:r>
          </w:p>
        </w:tc>
        <w:tc>
          <w:tcPr>
            <w:tcW w:type="dxa" w:w="1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Superseded</w:t>
            </w:r>
          </w:p>
        </w:tc>
      </w:tr>
      <w:tr>
        <w:trPr>
          <w:tblHeader w:val="false"/>
        </w:trPr>
        <w:tc>
          <w:tcPr>
            <w:tcW w:type="dxa" w:w="1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0.4</w:t>
            </w:r>
          </w:p>
        </w:tc>
        <w:tc>
          <w:tcPr>
            <w:tcW w:type="dxa" w:w="1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[Date]</w:t>
            </w:r>
          </w:p>
        </w:tc>
        <w:tc>
          <w:tcPr>
            <w:tcW w:type="dxa" w:w="16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[All]</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RTM, Risk Register, Forward Engineering Considerations and Decision Log</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[All]</w:t>
            </w:r>
          </w:p>
        </w:tc>
        <w:tc>
          <w:tcPr>
            <w:tcW w:type="dxa" w:w="1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Superseded</w:t>
            </w:r>
          </w:p>
        </w:tc>
      </w:tr>
      <w:tr>
        <w:trPr>
          <w:tblHeader w:val="false"/>
        </w:trPr>
        <w:tc>
          <w:tcPr>
            <w:tcW w:type="dxa" w:w="1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1.0</w:t>
            </w:r>
          </w:p>
        </w:tc>
        <w:tc>
          <w:tcPr>
            <w:tcW w:type="dxa" w:w="1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[Date]</w:t>
            </w:r>
          </w:p>
        </w:tc>
        <w:tc>
          <w:tcPr>
            <w:tcW w:type="dxa" w:w="16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[All]</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Baselined at the M1 engineering gate</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[All]</w:t>
            </w:r>
          </w:p>
        </w:tc>
        <w:tc>
          <w:tcPr>
            <w:tcW w:type="dxa" w:w="1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Current baseline</w:t>
            </w:r>
          </w:p>
        </w:tc>
      </w:tr>
    </w:tbl>
    <w:p>
      <w:pPr>
        <w:spacing w:after="160"/>
      </w:pPr>
    </w:p>
    <w:p>
      <w:pPr>
        <w:spacing w:after="120" w:before="0" w:line="264"/>
      </w:pPr>
      <w:r>
        <w:rPr>
          <w:rFonts w:ascii="Calibri" w:cs="Calibri" w:eastAsia="Calibri" w:hAnsi="Calibri"/>
          <w:b/>
          <w:bCs/>
          <w:color w:val="22303F"/>
          <w:sz w:val="20"/>
          <w:szCs w:val="20"/>
        </w:rPr>
        <w:t xml:space="preserve">Note on the version rows above.</w:t>
      </w:r>
      <w:r>
        <w:rPr>
          <w:rFonts w:ascii="Calibri" w:cs="Calibri" w:eastAsia="Calibri" w:hAnsi="Calibri"/>
          <w:color w:val="22303F"/>
          <w:sz w:val="20"/>
          <w:szCs w:val="20"/>
        </w:rPr>
        <w:t xml:space="preserve"> These are the placeholder authorship records. Replace the dates, names and change summaries with your team's actual history, and keep the row order. The repository commit history must corroborate what this table claims (Master Brief, s23).</w:t>
      </w:r>
    </w:p>
    <w:p>
      <w:pPr>
        <w:pStyle w:val="Heading1"/>
        <w:pBdr>
          <w:bottom w:val="single" w:color="1F3B5C" w:sz="8" w:space="4"/>
        </w:pBdr>
        <w:spacing w:after="130" w:before="300"/>
      </w:pPr>
      <w:r>
        <w:rPr>
          <w:rFonts w:ascii="Calibri" w:cs="Calibri" w:eastAsia="Calibri" w:hAnsi="Calibri"/>
          <w:b/>
          <w:bCs/>
          <w:color w:val="1F3B5C"/>
          <w:sz w:val="28"/>
          <w:szCs w:val="28"/>
        </w:rPr>
        <w:t xml:space="preserve">2.  Purpose and How to Read This Document</w:t>
      </w:r>
    </w:p>
    <w:p>
      <w:pPr>
        <w:spacing w:after="120" w:before="0" w:line="264"/>
      </w:pPr>
      <w:r>
        <w:rPr>
          <w:rFonts w:ascii="Calibri" w:cs="Calibri" w:eastAsia="Calibri" w:hAnsi="Calibri"/>
          <w:color w:val="22303F"/>
          <w:sz w:val="21"/>
          <w:szCs w:val="21"/>
        </w:rPr>
        <w:t xml:space="preserve">PED v1.0 records what CivicConnect is committing to engineer, for whom, under which constraints, and what has deliberately been left open. It is the reference against which every later milestone measures change.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100"/>
        <w:gridCol w:w="7300"/>
      </w:tblGrid>
      <w:tr>
        <w:trPr>
          <w:tblHeader/>
        </w:trPr>
        <w:tc>
          <w:tcPr>
            <w:tcW w:type="dxa" w:w="2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Convention</w:t>
            </w:r>
          </w:p>
        </w:tc>
        <w:tc>
          <w:tcPr>
            <w:tcW w:type="dxa" w:w="73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What it means</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Identifiers</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STK stakeholder, SC scope item, FR functional requirement, NFR non-functional requirement, CON constraint, RSK risk, FEC forward engineering consideration, DEC decision, TR traceability row, CR change request. Identifiers are stable after baseline and are never renumbered, because the traceability matrix and every register reference them.</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Researched fact against team judgement</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 claim supported by a standard, a regulation or the project brief carries a Harvard citation. A claim that is the team's own engineering judgement is labelled as such. The two are never presented as the same kind of evidence (M1 brief, s9.1).</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Live registers</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full requirements set, RTM, risk register, decision log, forward considerations, AI usage register and change register are maintained in the accompanying workbook and in the repository. This document reproduces them and, where a register is long, presents an extract and names where the live version lives.</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Square brackets</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Any value in [square brackets] is a placeholder that the team must complete before submission.</w:t>
            </w:r>
          </w:p>
        </w:tc>
      </w:tr>
    </w:tbl>
    <w:p>
      <w:pPr>
        <w:pStyle w:val="Heading1"/>
        <w:pBdr>
          <w:bottom w:val="single" w:color="1F3B5C" w:sz="8" w:space="4"/>
        </w:pBdr>
        <w:spacing w:after="130" w:before="300"/>
      </w:pPr>
      <w:r>
        <w:rPr>
          <w:rFonts w:ascii="Calibri" w:cs="Calibri" w:eastAsia="Calibri" w:hAnsi="Calibri"/>
          <w:b/>
          <w:bCs/>
          <w:color w:val="1F3B5C"/>
          <w:sz w:val="28"/>
          <w:szCs w:val="28"/>
        </w:rPr>
        <w:t xml:space="preserve">3.  Problem Statement and Business Need</w:t>
      </w:r>
    </w:p>
    <w:p>
      <w:pPr>
        <w:spacing w:after="120" w:before="0" w:line="264"/>
      </w:pPr>
      <w:r>
        <w:rPr>
          <w:rFonts w:ascii="Calibri" w:cs="Calibri" w:eastAsia="Calibri" w:hAnsi="Calibri"/>
          <w:color w:val="22303F"/>
          <w:sz w:val="21"/>
          <w:szCs w:val="21"/>
        </w:rPr>
        <w:t xml:space="preserve">The organisation currently manages service requests across email, telephone calls, WhatsApp messages, spreadsheets and paper records. The Master Brief describes the resulting failures directly: requests are duplicated, overlooked, misassigned or lost between channels; requesters cannot tell whether a request was received, assigned, delayed or resolved; staff struggle to prioritise and to establish ownership; accountability for status changes is weak; management lacks reliable information about outstanding and overdue work; reporting is manual and difficult to audit; and sensitive information is handled inconsistently across informal channels (Belgium Campus ITversity, 2026a).</w:t>
      </w:r>
    </w:p>
    <w:p>
      <w:pPr>
        <w:spacing w:after="120" w:before="0" w:line="264"/>
      </w:pPr>
      <w:r>
        <w:rPr>
          <w:rFonts w:ascii="Calibri" w:cs="Calibri" w:eastAsia="Calibri" w:hAnsi="Calibri"/>
          <w:b/>
          <w:bCs/>
          <w:color w:val="22303F"/>
          <w:sz w:val="21"/>
          <w:szCs w:val="21"/>
        </w:rPr>
        <w:t xml:space="preserve">Team interpretation of the underlying engineering problem.</w:t>
      </w:r>
      <w:r>
        <w:rPr>
          <w:rFonts w:ascii="Calibri" w:cs="Calibri" w:eastAsia="Calibri" w:hAnsi="Calibri"/>
          <w:color w:val="22303F"/>
          <w:sz w:val="21"/>
          <w:szCs w:val="21"/>
        </w:rPr>
        <w:t xml:space="preserve"> These are not seven separate problems. They are seven symptoms of one absence: there is no single controlled record of the lifecycle of a service request. Every symptom follows from that. Duplication happens because no channel can see what another has already accepted. Requesters chase by telephone because no authoritative status exists to consult. Accountability is weak because a status change leaves no durable trace. Reporting is manual because there is nothing to query.</w:t>
      </w:r>
    </w:p>
    <w:p>
      <w:pPr>
        <w:spacing w:after="120" w:before="0" w:line="264"/>
      </w:pPr>
      <w:r>
        <w:rPr>
          <w:rFonts w:ascii="Calibri" w:cs="Calibri" w:eastAsia="Calibri" w:hAnsi="Calibri"/>
          <w:color w:val="22303F"/>
          <w:sz w:val="21"/>
          <w:szCs w:val="21"/>
        </w:rPr>
        <w:t xml:space="preserve">That framing has a direct engineering consequence, and it is why the scope baseline in s6 looks as it does. If the defining property of the solution is a single controlled record, then adding an uncontrolled intake channel does not extend the platform, it reintroduces the original problem. This is the reasoning behind the exclusion defended in s6.4.</w:t>
      </w:r>
    </w:p>
    <w:p>
      <w:pPr>
        <w:pStyle w:val="Heading2"/>
        <w:spacing w:after="95" w:before="230"/>
      </w:pPr>
      <w:r>
        <w:rPr>
          <w:rFonts w:ascii="Calibri" w:cs="Calibri" w:eastAsia="Calibri" w:hAnsi="Calibri"/>
          <w:b/>
          <w:bCs/>
          <w:color w:val="1F3B5C"/>
          <w:sz w:val="23"/>
          <w:szCs w:val="23"/>
        </w:rPr>
        <w:t xml:space="preserve">3.1  Business need</w:t>
      </w:r>
    </w:p>
    <w:p>
      <w:pPr>
        <w:spacing w:after="120" w:before="0" w:line="264"/>
      </w:pPr>
      <w:r>
        <w:rPr>
          <w:rFonts w:ascii="Calibri" w:cs="Calibri" w:eastAsia="Calibri" w:hAnsi="Calibri"/>
          <w:color w:val="22303F"/>
          <w:sz w:val="21"/>
          <w:szCs w:val="21"/>
        </w:rPr>
        <w:t xml:space="preserve">The organisation needs a controlled digital platform providing a reliable, traceable and usable way to submit, manage, monitor and report on service requests, without creating an unsustainable technical, operational or financial burden (Belgium Campus ITversity, 2026a). The final clause is a constraint, not an aspiration, and it is carried into CON-03 and NFR-013.</w:t>
      </w:r>
    </w:p>
    <w:p>
      <w:pPr>
        <w:pStyle w:val="Heading1"/>
        <w:pBdr>
          <w:bottom w:val="single" w:color="1F3B5C" w:sz="8" w:space="4"/>
        </w:pBdr>
        <w:spacing w:after="130" w:before="300"/>
      </w:pPr>
      <w:r>
        <w:rPr>
          <w:rFonts w:ascii="Calibri" w:cs="Calibri" w:eastAsia="Calibri" w:hAnsi="Calibri"/>
          <w:b/>
          <w:bCs/>
          <w:color w:val="1F3B5C"/>
          <w:sz w:val="28"/>
          <w:szCs w:val="28"/>
        </w:rPr>
        <w:t xml:space="preserve">4.  Definition of Success for CivicConnect</w:t>
      </w:r>
    </w:p>
    <w:p>
      <w:pPr>
        <w:spacing w:after="120" w:before="0" w:line="264"/>
      </w:pPr>
      <w:r>
        <w:rPr>
          <w:rFonts w:ascii="Calibri" w:cs="Calibri" w:eastAsia="Calibri" w:hAnsi="Calibri"/>
          <w:b/>
          <w:bCs/>
          <w:color w:val="22303F"/>
          <w:sz w:val="21"/>
          <w:szCs w:val="21"/>
        </w:rPr>
        <w:t xml:space="preserve">Team judgement, derived from Master Brief s5.</w:t>
      </w:r>
      <w:r>
        <w:rPr>
          <w:rFonts w:ascii="Calibri" w:cs="Calibri" w:eastAsia="Calibri" w:hAnsi="Calibri"/>
          <w:color w:val="22303F"/>
          <w:sz w:val="21"/>
          <w:szCs w:val="21"/>
        </w:rPr>
        <w:t xml:space="preserve"> Success is not that the system runs. The measures below are stated now so that M4 can be evaluated against something agreed in advance rather than against whatever was achieved.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4100"/>
        <w:gridCol w:w="3400"/>
      </w:tblGrid>
      <w:tr>
        <w:trPr>
          <w:tblHeader/>
        </w:trPr>
        <w:tc>
          <w:tcPr>
            <w:tcW w:type="dxa" w:w="1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Dimension</w:t>
            </w:r>
          </w:p>
        </w:tc>
        <w:tc>
          <w:tcPr>
            <w:tcW w:type="dxa" w:w="4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What success means for CivicConnect</w:t>
            </w:r>
          </w:p>
        </w:tc>
        <w:tc>
          <w:tcPr>
            <w:tcW w:type="dxa" w:w="34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How it will be evidenced</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Stakeholder value</w:t>
            </w:r>
          </w:p>
        </w:tc>
        <w:tc>
          <w:tcPr>
            <w:tcW w:type="dxa" w:w="4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 requester can establish the state of their request without contacting anyone, and a coordinator can establish ownership of every open request.</w:t>
            </w:r>
          </w:p>
        </w:tc>
        <w:tc>
          <w:tcPr>
            <w:tcW w:type="dxa" w:w="3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Acceptance of FR-009 to FR-012 and FR-013 to FR-015; stakeholder validation in M4.</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Single controlled record</w:t>
            </w:r>
          </w:p>
        </w:tc>
        <w:tc>
          <w:tcPr>
            <w:tcW w:type="dxa" w:w="4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Every service request has exactly one authoritative record and one auditable history.</w:t>
            </w:r>
          </w:p>
        </w:tc>
        <w:tc>
          <w:tcPr>
            <w:tcW w:type="dxa" w:w="3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FR-025, FR-026 and the audit reconciliation in NFR-011.</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Scope</w:t>
            </w:r>
          </w:p>
        </w:tc>
        <w:tc>
          <w:tcPr>
            <w:tcW w:type="dxa" w:w="4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What was delivered matches what was baselined here, or differs only through recorded, approved change.</w:t>
            </w:r>
          </w:p>
        </w:tc>
        <w:tc>
          <w:tcPr>
            <w:tcW w:type="dxa" w:w="3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This baseline, the change register and the M4 delivered-against-approved comparison.</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Quality and security</w:t>
            </w:r>
          </w:p>
        </w:tc>
        <w:tc>
          <w:tcPr>
            <w:tcW w:type="dxa" w:w="4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measurable targets in s8.3 are met, or the shortfall is stated with its residual risk rather than concealed.</w:t>
            </w:r>
          </w:p>
        </w:tc>
        <w:tc>
          <w:tcPr>
            <w:tcW w:type="dxa" w:w="3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Test and measurement evidence in M3 and M4 against each NFR target.</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Constraint honesty</w:t>
            </w:r>
          </w:p>
        </w:tc>
        <w:tc>
          <w:tcPr>
            <w:tcW w:type="dxa" w:w="4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team can explain what it did not build and why, in constraint terms rather than as an apology.</w:t>
            </w:r>
          </w:p>
        </w:tc>
        <w:tc>
          <w:tcPr>
            <w:tcW w:type="dxa" w:w="3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Sections 6.2, 6.3, 6.4 and the deferred decisions in s13.2.</w:t>
            </w:r>
          </w:p>
        </w:tc>
      </w:tr>
    </w:tbl>
    <w:p>
      <w:pPr>
        <w:pageBreakBefore/>
      </w:pPr>
    </w:p>
    <w:p>
      <w:pPr>
        <w:sectPr>
          <w:headerReference w:type="default" r:id="rId7"/>
          <w:footerReference w:type="default" r:id="rId8"/>
          <w:pgSz w:w="11906" w:h="16838" w:orient="portrait"/>
          <w:pgMar w:top="1134" w:right="1247" w:bottom="1000" w:left="1247" w:header="708" w:footer="708" w:gutter="0"/>
          <w:pgNumType/>
          <w:docGrid w:linePitch="360"/>
        </w:sectPr>
      </w:pPr>
    </w:p>
    <w:p>
      <w:pPr>
        <w:pStyle w:val="Heading1"/>
        <w:pBdr>
          <w:bottom w:val="single" w:color="1F3B5C" w:sz="8" w:space="4"/>
        </w:pBdr>
        <w:spacing w:after="130" w:before="300"/>
      </w:pPr>
      <w:r>
        <w:rPr>
          <w:rFonts w:ascii="Calibri" w:cs="Calibri" w:eastAsia="Calibri" w:hAnsi="Calibri"/>
          <w:b/>
          <w:bCs/>
          <w:color w:val="1F3B5C"/>
          <w:sz w:val="28"/>
          <w:szCs w:val="28"/>
        </w:rPr>
        <w:t xml:space="preserve">5.  Stakeholder Analysis</w:t>
      </w:r>
    </w:p>
    <w:p>
      <w:pPr>
        <w:spacing w:after="120" w:before="0" w:line="264"/>
      </w:pPr>
      <w:r>
        <w:rPr>
          <w:rFonts w:ascii="Calibri" w:cs="Calibri" w:eastAsia="Calibri" w:hAnsi="Calibri"/>
          <w:color w:val="22303F"/>
          <w:sz w:val="20"/>
          <w:szCs w:val="20"/>
        </w:rPr>
        <w:t xml:space="preserve">Stakeholders are recorded with their needs, their influence and interest, and, where they exist, the conflicts between them. The final column matters most: a stakeholder analysis that records no conflict has not been done, because competing expectations are the reason requirements engineering is necessary at all.</w:t>
      </w:r>
    </w:p>
    <w:tbl>
      <w:tblPr>
        <w:tblW w:type="dxa" w:w="14600"/>
        <w:tblBorders>
          <w:top w:val="single" w:color="auto" w:sz="4"/>
          <w:left w:val="single" w:color="auto" w:sz="4"/>
          <w:bottom w:val="single" w:color="auto" w:sz="4"/>
          <w:right w:val="single" w:color="auto" w:sz="4"/>
          <w:insideH w:val="single" w:color="auto" w:sz="4"/>
          <w:insideV w:val="single" w:color="auto" w:sz="4"/>
        </w:tblBorders>
      </w:tblPr>
      <w:tblGrid>
        <w:gridCol w:w="700"/>
        <w:gridCol w:w="2050"/>
        <w:gridCol w:w="2200"/>
        <w:gridCol w:w="3200"/>
        <w:gridCol w:w="700"/>
        <w:gridCol w:w="700"/>
        <w:gridCol w:w="5050"/>
      </w:tblGrid>
      <w:tr>
        <w:trPr>
          <w:tblHeader/>
        </w:trPr>
        <w:tc>
          <w:tcPr>
            <w:tcW w:type="dxa" w:w="7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ID</w:t>
            </w:r>
          </w:p>
        </w:tc>
        <w:tc>
          <w:tcPr>
            <w:tcW w:type="dxa" w:w="20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Stakeholder</w:t>
            </w:r>
          </w:p>
        </w:tc>
        <w:tc>
          <w:tcPr>
            <w:tcW w:type="dxa" w:w="22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Role and interest</w:t>
            </w:r>
          </w:p>
        </w:tc>
        <w:tc>
          <w:tcPr>
            <w:tcW w:type="dxa" w:w="32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Needs</w:t>
            </w:r>
          </w:p>
        </w:tc>
        <w:tc>
          <w:tcPr>
            <w:tcW w:type="dxa" w:w="7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Infl.</w:t>
            </w:r>
          </w:p>
        </w:tc>
        <w:tc>
          <w:tcPr>
            <w:tcW w:type="dxa" w:w="7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Int.</w:t>
            </w:r>
          </w:p>
        </w:tc>
        <w:tc>
          <w:tcPr>
            <w:tcW w:type="dxa" w:w="50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Conflicts and how this baseline resolves them</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STK-01</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Requester (community member or staff submitting a request)</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Raises service requests and needs to know what happened to them</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Simple submission; confirmation that the request was received; visible status without chasing anyone; a record of past requests</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Low</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Wants full visibility of who is working on the request and what they have written. Conflicts with STK-02, who needs candid internal working notes. Resolved by DEC-003.</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STK-02</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Service staff / technician</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Carries out the work and records what was done</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 queue of only relevant work; enough detail to act without phoning back; ability to record honest internal notes; not to be interrupted across five channels</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Medium</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Wants broad visibility of all requests for context. Conflicts with the least-privilege security constraint. Resolved by scoping the queue to authorised categories (FR-013) rather than granting global read.</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STK-03</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Service coordinator / supervisor</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Assigns work, sets priority and keeps the queue moving</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Reliable prioritisation; clear ownership of every request; ability to reassign; visibility of ageing and overdue work</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Needs to own priority. Conflicts with STK-01, who wants to declare their own request urgent. Resolved by DEC-002: requester urgency is an input, coordinator sets priority.</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STK-04</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Management / oversight</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Accountable for service performance and reporting</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Trustworthy counts of open, overdue, resolved and closed work; breakdown by category; an auditable record of who changed what</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Medium</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Wants rich analytics and export. Conflicts with the schedule and cost constraints. Resolved by baselining a minimal reporting set (FR-022 to FR-024) and deferring the analytics dashboard.</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STK-05</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System administrator (role held by STK-04 in this baseline)</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Maintains users, roles and the controlled category list</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Add and deactivate users; maintain categories without breaking historical records</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Medium</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Medium</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Deleting a category would orphan historical requests. Resolved by FR-027: categories are deactivated, never deleted.</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STK-06</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Organisation / project sponsor</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Funds and owns the platform; accountable for the business outcome</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Improved visibility and accountability without an unsustainable technical, operational or financial burden (Master Brief, s2.1)</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Medium</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Cost ceiling constrains the availability target. See CON-03 and the trade-off analysis in s7.1.</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STK-07</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Information officer / data subject interest</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Personal information in requests is processed lawfully</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Minimal personal information collected; access restricted to those who need it; a defined retention position</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Medium</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Low</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Privacy minimisation conflicts with STK-04's appetite for detailed reporting. Resolved by aggregate reporting (FR-022) rather than personal-level performance data in the baseline.</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STK-08</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SEN381 lecturer / assessor (acting client and approving authority)</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Approves the baseline and issues controlled change</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Controlled, traceable and defensible engineering evidence; a formal change request will be issued in M3 (Master Brief, s20.3)</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The known M3 change request is treated as a planned event, not a surprise. See RSK-03.</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STK-09</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Development team (three registered students)</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Engineers, operates and defends the system</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Achievable scope within the delivery period; a stack the team can actually learn and support; time for review and verification</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Capability is a resource constraint that limits buildable scope. See CON-06 and RSK-01.</w:t>
            </w:r>
          </w:p>
        </w:tc>
      </w:tr>
    </w:tbl>
    <w:p>
      <w:pPr>
        <w:spacing w:after="150"/>
      </w:pPr>
    </w:p>
    <w:p>
      <w:pPr>
        <w:pStyle w:val="Heading2"/>
        <w:spacing w:after="95" w:before="230"/>
      </w:pPr>
      <w:r>
        <w:rPr>
          <w:rFonts w:ascii="Calibri" w:cs="Calibri" w:eastAsia="Calibri" w:hAnsi="Calibri"/>
          <w:b/>
          <w:bCs/>
          <w:color w:val="1F3B5C"/>
          <w:sz w:val="23"/>
          <w:szCs w:val="23"/>
        </w:rPr>
        <w:t xml:space="preserve">5.1  The conflict that shaped this baseline most</w:t>
      </w:r>
    </w:p>
    <w:p>
      <w:pPr>
        <w:spacing w:after="120" w:before="0" w:line="264"/>
      </w:pPr>
      <w:r>
        <w:rPr>
          <w:rFonts w:ascii="Calibri" w:cs="Calibri" w:eastAsia="Calibri" w:hAnsi="Calibri"/>
          <w:b/>
          <w:bCs/>
          <w:color w:val="22303F"/>
          <w:sz w:val="20"/>
          <w:szCs w:val="20"/>
        </w:rPr>
        <w:t xml:space="preserve">Team judgement.</w:t>
      </w:r>
      <w:r>
        <w:rPr>
          <w:rFonts w:ascii="Calibri" w:cs="Calibri" w:eastAsia="Calibri" w:hAnsi="Calibri"/>
          <w:color w:val="22303F"/>
          <w:sz w:val="20"/>
          <w:szCs w:val="20"/>
        </w:rPr>
        <w:t xml:space="preserve"> The hardest expectation to reconcile was STK-01 against STK-02. A requester who has been ignored across five channels wants total visibility, including who is working on the request and what they have written about it. A staff member needs to record candid working notes - that a site was inaccessible, that a previous repair was done badly, that a requester was abusive - and will simply stop recording them if they are published.</w:t>
      </w:r>
    </w:p>
    <w:p>
      <w:pPr>
        <w:spacing w:after="120" w:before="0" w:line="264"/>
      </w:pPr>
      <w:r>
        <w:rPr>
          <w:rFonts w:ascii="Calibri" w:cs="Calibri" w:eastAsia="Calibri" w:hAnsi="Calibri"/>
          <w:color w:val="22303F"/>
          <w:sz w:val="20"/>
          <w:szCs w:val="20"/>
        </w:rPr>
        <w:t xml:space="preserve">Both needs are legitimate and neither can be dismissed. Resolving it by satisfying either side fully damages the record the platform exists to create: full publication produces an empty action log, and full concealment returns the requester to the telephone. The baseline therefore splits the artefact rather than choosing a side: every action entry carries an explicit visibility marking, chosen at the time of writing, with no default (FR-017), and the requester view returns only entries marked requester-visible (FR-011). The cost is one deliberate decision per entry, and the risk is that a mis-marked entry is a disclosure, which is why FR-017 forbids a silent default and why this is recorded as DEC-003.</w:t>
      </w:r>
    </w:p>
    <w:p>
      <w:pPr>
        <w:sectPr>
          <w:headerReference w:type="default" r:id="rId9"/>
          <w:footerReference w:type="default" r:id="rId10"/>
          <w:pgSz w:w="16838" w:h="11906" w:orient="landscape"/>
          <w:pgMar w:top="1000" w:right="1100" w:bottom="900" w:left="1100" w:header="708" w:footer="708" w:gutter="0"/>
          <w:pgNumType/>
          <w:docGrid w:linePitch="360"/>
        </w:sectPr>
      </w:pPr>
    </w:p>
    <w:p>
      <w:pPr>
        <w:pStyle w:val="Heading1"/>
        <w:pBdr>
          <w:bottom w:val="single" w:color="1F3B5C" w:sz="8" w:space="4"/>
        </w:pBdr>
        <w:spacing w:after="130" w:before="300"/>
      </w:pPr>
      <w:r>
        <w:rPr>
          <w:rFonts w:ascii="Calibri" w:cs="Calibri" w:eastAsia="Calibri" w:hAnsi="Calibri"/>
          <w:b/>
          <w:bCs/>
          <w:color w:val="1F3B5C"/>
          <w:sz w:val="28"/>
          <w:szCs w:val="28"/>
        </w:rPr>
        <w:t xml:space="preserve">6.  Scope Baseline</w:t>
      </w:r>
    </w:p>
    <w:p>
      <w:pPr>
        <w:spacing w:after="120" w:before="0" w:line="264"/>
      </w:pPr>
      <w:r>
        <w:rPr>
          <w:rFonts w:ascii="Calibri" w:cs="Calibri" w:eastAsia="Calibri" w:hAnsi="Calibri"/>
          <w:color w:val="22303F"/>
          <w:sz w:val="21"/>
          <w:szCs w:val="21"/>
        </w:rPr>
        <w:t xml:space="preserve">Scope is baselined at PED v1.0. An item moves between the three lists below only through a recorded change request with impact analysis (Master Brief, s14).</w:t>
      </w:r>
    </w:p>
    <w:p>
      <w:pPr>
        <w:pStyle w:val="Heading2"/>
        <w:spacing w:after="95" w:before="230"/>
      </w:pPr>
      <w:r>
        <w:rPr>
          <w:rFonts w:ascii="Calibri" w:cs="Calibri" w:eastAsia="Calibri" w:hAnsi="Calibri"/>
          <w:b/>
          <w:bCs/>
          <w:color w:val="1F3B5C"/>
          <w:sz w:val="23"/>
          <w:szCs w:val="23"/>
        </w:rPr>
        <w:t xml:space="preserve">6.1  In scope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2400"/>
      </w:tblGrid>
      <w:tr>
        <w:trPr>
          <w:tblHeader/>
        </w:trPr>
        <w:tc>
          <w:tcPr>
            <w:tcW w:type="dxa" w:w="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ID</w:t>
            </w:r>
          </w:p>
        </w:tc>
        <w:tc>
          <w:tcPr>
            <w:tcW w:type="dxa" w:w="6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Committed capability</w:t>
            </w:r>
          </w:p>
        </w:tc>
        <w:tc>
          <w:tcPr>
            <w:tcW w:type="dxa" w:w="24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Requirements</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SC-I-01</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Authenticated access with four roles: Requester, Staff, Coordinator, Manager</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FR-001 to FR-004</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SC-I-02</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Service request submission with a controlled category, description, location and reported urgency</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FR-005 to FR-009</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SC-I-03</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 unique, human-readable request reference issued at submission</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FR-008</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SC-I-04</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Requester visibility of their own requests, current status and status history</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FR-010 to FR-012</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SC-I-05</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Staff work queue with search, filter and sort</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FR-013, FR-014</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SC-I-06</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Assignment and acceptance of ownership</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FR-015</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SC-I-07</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Controlled status transitions across a single agreed status model</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FR-016, FR-018 to FR-020</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SC-I-08</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Action and comment log separated into internal and requester-visible entries</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FR-017</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SC-I-09</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Coordinator-owned prioritisation</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FR-021</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SC-I-10</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Management view of open, overdue, resolved and closed counts, by category and status</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FR-022 to FR-024</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SC-I-11</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Append-only audit trail of status, assignment and priority changes</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FR-025, FR-026</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SC-I-12</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Maintenance of the controlled category list and user deactivation</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FR-027, FR-028</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SC-I-13</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In-application notification of acceptance, update, rejection and completion</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FR-009, FR-029</w:t>
            </w:r>
          </w:p>
        </w:tc>
      </w:tr>
    </w:tbl>
    <w:p>
      <w:pPr>
        <w:pStyle w:val="Heading2"/>
        <w:spacing w:after="95" w:before="230"/>
      </w:pPr>
      <w:r>
        <w:rPr>
          <w:rFonts w:ascii="Calibri" w:cs="Calibri" w:eastAsia="Calibri" w:hAnsi="Calibri"/>
          <w:b/>
          <w:bCs/>
          <w:color w:val="1F3B5C"/>
          <w:sz w:val="23"/>
          <w:szCs w:val="23"/>
        </w:rPr>
        <w:t xml:space="preserve">6.2  Out of scope</w:t>
      </w:r>
    </w:p>
    <w:p>
      <w:pPr>
        <w:spacing w:after="120" w:before="0" w:line="264"/>
      </w:pPr>
      <w:r>
        <w:rPr>
          <w:rFonts w:ascii="Calibri" w:cs="Calibri" w:eastAsia="Calibri" w:hAnsi="Calibri"/>
          <w:color w:val="22303F"/>
          <w:sz w:val="20"/>
          <w:szCs w:val="20"/>
        </w:rPr>
        <w:t xml:space="preserve">These are not deferred. They are not intended for delivery in this project.</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00"/>
        <w:gridCol w:w="3300"/>
        <w:gridCol w:w="5200"/>
      </w:tblGrid>
      <w:tr>
        <w:trPr>
          <w:tblHeader/>
        </w:trPr>
        <w:tc>
          <w:tcPr>
            <w:tcW w:type="dxa" w:w="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ID</w:t>
            </w:r>
          </w:p>
        </w:tc>
        <w:tc>
          <w:tcPr>
            <w:tcW w:type="dxa" w:w="33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Excluded</w:t>
            </w:r>
          </w:p>
        </w:tc>
        <w:tc>
          <w:tcPr>
            <w:tcW w:type="dxa" w:w="52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Why</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SC-O-01</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Migration of historical requests from email, spreadsheets, WhatsApp or paper records</w:t>
            </w:r>
          </w:p>
        </w:tc>
        <w:tc>
          <w:tcPr>
            <w:tcW w:type="dxa" w:w="5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 controlled source data exists to migrate, and the quality of the informal records is unknown. Migrating unverified records would corrupt the reporting the platform exists to provide.</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SC-O-02</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Integration with the existing telephone, email or WhatsApp channels</w:t>
            </w:r>
          </w:p>
        </w:tc>
        <w:tc>
          <w:tcPr>
            <w:tcW w:type="dxa" w:w="5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See the defended exclusion in s6.4. Re-admitting uncontrolled channels would recreate the fragmentation identified in the Master Brief s2.</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SC-O-03</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Native mobile applications</w:t>
            </w:r>
          </w:p>
        </w:tc>
        <w:tc>
          <w:tcPr>
            <w:tcW w:type="dxa" w:w="5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 responsive web interface meets the stated requester need. A native application multiplies build, test, store-release and maintenance obligations across two additional platforms.</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SC-O-04</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Cost, procurement, work-order or contractor payment handling</w:t>
            </w:r>
          </w:p>
        </w:tc>
        <w:tc>
          <w:tcPr>
            <w:tcW w:type="dxa" w:w="5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Outside the stated business need. Introduces financial data and a materially higher security and audit obligation.</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SC-O-05</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Anonymous public submission without an account</w:t>
            </w:r>
          </w:p>
        </w:tc>
        <w:tc>
          <w:tcPr>
            <w:tcW w:type="dxa" w:w="5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Conflicts with FR-012 record isolation and with the accountability the platform exists to establish; also removes the ability to give the requester status visibility.</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SC-O-06</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External vendor SLA and contract management</w:t>
            </w:r>
          </w:p>
        </w:tc>
        <w:tc>
          <w:tcPr>
            <w:tcW w:type="dxa" w:w="5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 stakeholder in the analysis owns this need.</w:t>
            </w:r>
          </w:p>
        </w:tc>
      </w:tr>
    </w:tbl>
    <w:p>
      <w:pPr>
        <w:pStyle w:val="Heading2"/>
        <w:spacing w:after="95" w:before="230"/>
      </w:pPr>
      <w:r>
        <w:rPr>
          <w:rFonts w:ascii="Calibri" w:cs="Calibri" w:eastAsia="Calibri" w:hAnsi="Calibri"/>
          <w:b/>
          <w:bCs/>
          <w:color w:val="1F3B5C"/>
          <w:sz w:val="23"/>
          <w:szCs w:val="23"/>
        </w:rPr>
        <w:t xml:space="preserve">6.3  Deferred and future scope</w:t>
      </w:r>
    </w:p>
    <w:p>
      <w:pPr>
        <w:spacing w:after="120" w:before="0" w:line="264"/>
      </w:pPr>
      <w:r>
        <w:rPr>
          <w:rFonts w:ascii="Calibri" w:cs="Calibri" w:eastAsia="Calibri" w:hAnsi="Calibri"/>
          <w:color w:val="22303F"/>
          <w:sz w:val="20"/>
          <w:szCs w:val="20"/>
        </w:rPr>
        <w:t xml:space="preserve">Deferred items may enter a later milestone through change control if their reconsideration trigger is met. They are recorded now because several of them constrain decisions that will be taken in M2 even while they remain unbuilt.</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4200"/>
        <w:gridCol w:w="2100"/>
      </w:tblGrid>
      <w:tr>
        <w:trPr>
          <w:tblHeader/>
        </w:trPr>
        <w:tc>
          <w:tcPr>
            <w:tcW w:type="dxa" w:w="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ID</w:t>
            </w:r>
          </w:p>
        </w:tc>
        <w:tc>
          <w:tcPr>
            <w:tcW w:type="dxa" w:w="22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Deferred</w:t>
            </w:r>
          </w:p>
        </w:tc>
        <w:tc>
          <w:tcPr>
            <w:tcW w:type="dxa" w:w="42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Why deferred</w:t>
            </w:r>
          </w:p>
        </w:tc>
        <w:tc>
          <w:tcPr>
            <w:tcW w:type="dxa" w:w="2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Reconsider when</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SC-D-01</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Email or SMS notification channel</w:t>
            </w:r>
          </w:p>
        </w:tc>
        <w:tc>
          <w:tcPr>
            <w:tcW w:type="dxa" w:w="4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Requires an always-on background worker or scheduled job. Whether that is available within the cost constraint is unknown until the deployment platform is decided in M2. See FEC-03.</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M2 platform decision confirms background-process support within free or low-cost limits</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SC-D-02</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File attachments on requests (for example a photograph of a fault)</w:t>
            </w:r>
          </w:p>
        </w:tc>
        <w:tc>
          <w:tcPr>
            <w:tcW w:type="dxa" w:w="4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See the defended exclusion in s6.4.</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Storage cost, content-type validation, malware scanning and a retention position are all specified and affordable</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SC-D-03</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Configurable per-category service targets and automated escalation</w:t>
            </w:r>
          </w:p>
        </w:tc>
        <w:tc>
          <w:tcPr>
            <w:tcW w:type="dxa" w:w="4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baseline uses a single organisation-wide response target so that 'overdue' has one unambiguous definition (FEC-02). Per-category targets multiply the reporting and test surface.</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organisation confirms differentiated targets are actually required and supplies the values</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SC-D-04</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Analytics dashboard with trend charts and data export</w:t>
            </w:r>
          </w:p>
        </w:tc>
        <w:tc>
          <w:tcPr>
            <w:tcW w:type="dxa" w:w="4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Management need is met in the baseline by counts and breakdowns. Charting and export add build and verification cost that the schedule cannot absorb in M1 to M3.</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Baseline reporting is delivered and stakeholder feedback confirms the gap</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SC-D-05</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Multi-site or multi-organisation separation</w:t>
            </w:r>
          </w:p>
        </w:tc>
        <w:tc>
          <w:tcPr>
            <w:tcW w:type="dxa" w:w="4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Not required by the stated scenario, but it is a data-model property that cannot be added cheaply later. Recorded now so the M2 data design keeps the option open. See FEC-01.</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organisation confirms more than one site or tenant is in view</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SC-D-06</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Bulk import of historical requests</w:t>
            </w:r>
          </w:p>
        </w:tc>
        <w:tc>
          <w:tcPr>
            <w:tcW w:type="dxa" w:w="4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Depends on SC-O-01 being reconsidered and on a source of acceptable quality being identified.</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 controlled, quality-assessed source dataset is provided</w:t>
            </w:r>
          </w:p>
        </w:tc>
      </w:tr>
    </w:tbl>
    <w:p>
      <w:pPr>
        <w:pageBreakBefore/>
      </w:pPr>
    </w:p>
    <w:p>
      <w:pPr>
        <w:pStyle w:val="Heading2"/>
        <w:spacing w:after="95" w:before="230"/>
      </w:pPr>
      <w:r>
        <w:rPr>
          <w:rFonts w:ascii="Calibri" w:cs="Calibri" w:eastAsia="Calibri" w:hAnsi="Calibri"/>
          <w:b/>
          <w:bCs/>
          <w:color w:val="1F3B5C"/>
          <w:sz w:val="23"/>
          <w:szCs w:val="23"/>
        </w:rPr>
        <w:t xml:space="preserve">6.4  Defended exclusions</w:t>
      </w:r>
    </w:p>
    <w:p>
      <w:pPr>
        <w:spacing w:after="120" w:before="0" w:line="264"/>
      </w:pPr>
      <w:r>
        <w:rPr>
          <w:rFonts w:ascii="Calibri" w:cs="Calibri" w:eastAsia="Calibri" w:hAnsi="Calibri"/>
          <w:color w:val="22303F"/>
          <w:sz w:val="21"/>
          <w:szCs w:val="21"/>
        </w:rPr>
        <w:t xml:space="preserve">The milestone brief requires the team to defend at least one deliberate exclusion or deferment. Two are defended here, because they were the two hardest to give up and are the two most likely to be questioned.</w:t>
      </w:r>
    </w:p>
    <w:p>
      <w:pPr>
        <w:pStyle w:val="Heading3"/>
        <w:spacing w:after="75" w:before="170"/>
      </w:pPr>
      <w:r>
        <w:rPr>
          <w:rFonts w:ascii="Calibri" w:cs="Calibri" w:eastAsia="Calibri" w:hAnsi="Calibri"/>
          <w:b/>
          <w:bCs/>
          <w:color w:val="2E6E8E"/>
          <w:sz w:val="21"/>
          <w:szCs w:val="21"/>
        </w:rPr>
        <w:t xml:space="preserve">6.4.1  File attachments on a request (deferred, SC-D-02)</w:t>
      </w:r>
    </w:p>
    <w:p>
      <w:pPr>
        <w:spacing w:after="120" w:before="0" w:line="264"/>
      </w:pPr>
      <w:r>
        <w:rPr>
          <w:rFonts w:ascii="Calibri" w:cs="Calibri" w:eastAsia="Calibri" w:hAnsi="Calibri"/>
          <w:b/>
          <w:bCs/>
          <w:color w:val="22303F"/>
          <w:sz w:val="21"/>
          <w:szCs w:val="21"/>
        </w:rPr>
        <w:t xml:space="preserve">The value being given up is real.</w:t>
      </w:r>
      <w:r>
        <w:rPr>
          <w:rFonts w:ascii="Calibri" w:cs="Calibri" w:eastAsia="Calibri" w:hAnsi="Calibri"/>
          <w:color w:val="22303F"/>
          <w:sz w:val="21"/>
          <w:szCs w:val="21"/>
        </w:rPr>
        <w:t xml:space="preserve"> A photograph of a broken gate or a leaking pipe conveys more than a paragraph of description, would reduce diagnostic visits by staff, and is the single feature a requester is most likely to expect from a modern platform. The team is not deferring this because it is unimportant.</w:t>
      </w:r>
    </w:p>
    <w:p>
      <w:pPr>
        <w:spacing w:after="120" w:before="0" w:line="264"/>
      </w:pPr>
      <w:r>
        <w:rPr>
          <w:rFonts w:ascii="Calibri" w:cs="Calibri" w:eastAsia="Calibri" w:hAnsi="Calibri"/>
          <w:b/>
          <w:bCs/>
          <w:color w:val="22303F"/>
          <w:sz w:val="21"/>
          <w:szCs w:val="21"/>
        </w:rPr>
        <w:t xml:space="preserve">The obligations it carries.</w:t>
      </w:r>
      <w:r>
        <w:rPr>
          <w:rFonts w:ascii="Calibri" w:cs="Calibri" w:eastAsia="Calibri" w:hAnsi="Calibri"/>
          <w:color w:val="22303F"/>
          <w:sz w:val="21"/>
          <w:szCs w:val="21"/>
        </w:rPr>
        <w:t xml:space="preserve"> Accepting a file from an unauthenticated-in-practice user population means content-type validation that cannot be satisfied by checking the file extension, malware scanning, a storage location with an access model of its own, a size limit with an enforcement point, and a retention position. It also means personal information inside images, which the team cannot minimise by field design because it has no control over what a photograph contains: a picture of a damaged door may include a face, a vehicle registration or an address. That engages POPIA s19 obligations directly (Republic of South Africa, 2013), and it engages them on data the team cannot inspect in advance.</w:t>
      </w:r>
    </w:p>
    <w:p>
      <w:pPr>
        <w:spacing w:after="120" w:before="0" w:line="264"/>
      </w:pPr>
      <w:r>
        <w:rPr>
          <w:rFonts w:ascii="Calibri" w:cs="Calibri" w:eastAsia="Calibri" w:hAnsi="Calibri"/>
          <w:b/>
          <w:bCs/>
          <w:color w:val="22303F"/>
          <w:sz w:val="21"/>
          <w:szCs w:val="21"/>
        </w:rPr>
        <w:t xml:space="preserve">The constraint that decides it.</w:t>
      </w:r>
      <w:r>
        <w:rPr>
          <w:rFonts w:ascii="Calibri" w:cs="Calibri" w:eastAsia="Calibri" w:hAnsi="Calibri"/>
          <w:color w:val="22303F"/>
          <w:sz w:val="21"/>
          <w:szCs w:val="21"/>
        </w:rPr>
        <w:t xml:space="preserve"> CON-02 and CON-03 together. Storage beyond a free-tier allowance has a cost the sponsor has not agreed, and the security work above is not achievable to a defensible standard within the delivery period alongside the committed scope. A half-controlled attachment feature is materially worse than none: it creates an exposure the team would then have to defend in M4 rather than a gap it can explain now.</w:t>
      </w:r>
    </w:p>
    <w:p>
      <w:pPr>
        <w:spacing w:after="120" w:before="0" w:line="264"/>
      </w:pPr>
      <w:r>
        <w:rPr>
          <w:rFonts w:ascii="Calibri" w:cs="Calibri" w:eastAsia="Calibri" w:hAnsi="Calibri"/>
          <w:b/>
          <w:bCs/>
          <w:color w:val="22303F"/>
          <w:sz w:val="21"/>
          <w:szCs w:val="21"/>
        </w:rPr>
        <w:t xml:space="preserve">What makes the deferral safe rather than lazy.</w:t>
      </w:r>
      <w:r>
        <w:rPr>
          <w:rFonts w:ascii="Calibri" w:cs="Calibri" w:eastAsia="Calibri" w:hAnsi="Calibri"/>
          <w:color w:val="22303F"/>
          <w:sz w:val="21"/>
          <w:szCs w:val="21"/>
        </w:rPr>
        <w:t xml:space="preserve"> The deferral is only sound if it stays reversible, which is why FEC-01 and DEC-006 both record that the M2 data design must leave room for an attachment relationship without a later migration. The reconsideration trigger is explicit: storage cost, content-type validation, malware scanning and a retention position all specified and affordable.</w:t>
      </w:r>
    </w:p>
    <w:p>
      <w:pPr>
        <w:spacing w:after="120"/>
      </w:pPr>
    </w:p>
    <w:p>
      <w:pPr>
        <w:pStyle w:val="Heading3"/>
        <w:spacing w:after="75" w:before="170"/>
      </w:pPr>
      <w:r>
        <w:rPr>
          <w:rFonts w:ascii="Calibri" w:cs="Calibri" w:eastAsia="Calibri" w:hAnsi="Calibri"/>
          <w:b/>
          <w:bCs/>
          <w:color w:val="2E6E8E"/>
          <w:sz w:val="21"/>
          <w:szCs w:val="21"/>
        </w:rPr>
        <w:t xml:space="preserve">6.4.2  Integration with the existing email, telephone and WhatsApp channels (excluded, SC-O-02)</w:t>
      </w:r>
    </w:p>
    <w:p>
      <w:pPr>
        <w:spacing w:after="120" w:before="0" w:line="264"/>
      </w:pPr>
      <w:r>
        <w:rPr>
          <w:rFonts w:ascii="Calibri" w:cs="Calibri" w:eastAsia="Calibri" w:hAnsi="Calibri"/>
          <w:b/>
          <w:bCs/>
          <w:color w:val="22303F"/>
          <w:sz w:val="21"/>
          <w:szCs w:val="21"/>
        </w:rPr>
        <w:t xml:space="preserve">Why it is tempting.</w:t>
      </w:r>
      <w:r>
        <w:rPr>
          <w:rFonts w:ascii="Calibri" w:cs="Calibri" w:eastAsia="Calibri" w:hAnsi="Calibri"/>
          <w:color w:val="22303F"/>
          <w:sz w:val="21"/>
          <w:szCs w:val="21"/>
        </w:rPr>
        <w:t xml:space="preserve"> Requesters already use those channels. Integrating them would remove the adoption barrier entirely, and a stakeholder would reasonably ask why the platform does not simply absorb the traffic it is replacing.</w:t>
      </w:r>
    </w:p>
    <w:p>
      <w:pPr>
        <w:spacing w:after="120" w:before="0" w:line="264"/>
      </w:pPr>
      <w:r>
        <w:rPr>
          <w:rFonts w:ascii="Calibri" w:cs="Calibri" w:eastAsia="Calibri" w:hAnsi="Calibri"/>
          <w:b/>
          <w:bCs/>
          <w:color w:val="22303F"/>
          <w:sz w:val="21"/>
          <w:szCs w:val="21"/>
        </w:rPr>
        <w:t xml:space="preserve">Why it is excluded rather than deferred.</w:t>
      </w:r>
      <w:r>
        <w:rPr>
          <w:rFonts w:ascii="Calibri" w:cs="Calibri" w:eastAsia="Calibri" w:hAnsi="Calibri"/>
          <w:color w:val="22303F"/>
          <w:sz w:val="21"/>
          <w:szCs w:val="21"/>
        </w:rPr>
        <w:t xml:space="preserve"> This is the exclusion that follows directly from the problem framing in s3. The failure being solved is the absence of a single controlled record; the fragmentation across channels is the cause, not an inconvenient detail of it. An integration that accepts requests from WhatsApp reintroduces an intake path with no authentication, no controlled category, no mandatory fields and no audit identity - which means it reintroduces exactly the duplication, loss and weak accountability the platform exists to remove. The integration would not extend the solution; it would restore the problem inside it.</w:t>
      </w:r>
    </w:p>
    <w:p>
      <w:pPr>
        <w:spacing w:after="120" w:before="0" w:line="264"/>
      </w:pPr>
      <w:r>
        <w:rPr>
          <w:rFonts w:ascii="Calibri" w:cs="Calibri" w:eastAsia="Calibri" w:hAnsi="Calibri"/>
          <w:b/>
          <w:bCs/>
          <w:color w:val="22303F"/>
          <w:sz w:val="21"/>
          <w:szCs w:val="21"/>
        </w:rPr>
        <w:t xml:space="preserve">Team judgement on the honest limitation.</w:t>
      </w:r>
      <w:r>
        <w:rPr>
          <w:rFonts w:ascii="Calibri" w:cs="Calibri" w:eastAsia="Calibri" w:hAnsi="Calibri"/>
          <w:color w:val="22303F"/>
          <w:sz w:val="21"/>
          <w:szCs w:val="21"/>
        </w:rPr>
        <w:t xml:space="preserve"> This is a real cost, and it should be stated plainly rather than argued away: requesters must change how they raise requests, and adoption is therefore a business change problem the platform alone does not solve. The team's position is that this cost is worth paying because the alternative defeats the purpose of the system, but it is a trade-off, not a free choice, and it is one the sponsor should be told about explicitly.</w:t>
      </w:r>
    </w:p>
    <w:p>
      <w:pPr>
        <w:pageBreakBefore/>
      </w:pPr>
    </w:p>
    <w:p>
      <w:pPr>
        <w:pStyle w:val="Heading1"/>
        <w:pBdr>
          <w:bottom w:val="single" w:color="1F3B5C" w:sz="8" w:space="4"/>
        </w:pBdr>
        <w:spacing w:after="130" w:before="300"/>
      </w:pPr>
      <w:r>
        <w:rPr>
          <w:rFonts w:ascii="Calibri" w:cs="Calibri" w:eastAsia="Calibri" w:hAnsi="Calibri"/>
          <w:b/>
          <w:bCs/>
          <w:color w:val="1F3B5C"/>
          <w:sz w:val="28"/>
          <w:szCs w:val="28"/>
        </w:rPr>
        <w:t xml:space="preserve">7.  Constraints and Their Engineering Implications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800"/>
        <w:gridCol w:w="1300"/>
        <w:gridCol w:w="3500"/>
        <w:gridCol w:w="3800"/>
      </w:tblGrid>
      <w:tr>
        <w:trPr>
          <w:tblHeader/>
        </w:trPr>
        <w:tc>
          <w:tcPr>
            <w:tcW w:type="dxa" w:w="8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ID</w:t>
            </w:r>
          </w:p>
        </w:tc>
        <w:tc>
          <w:tcPr>
            <w:tcW w:type="dxa" w:w="13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Type</w:t>
            </w:r>
          </w:p>
        </w:tc>
        <w:tc>
          <w:tcPr>
            <w:tcW w:type="dxa" w:w="35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Constraint</w:t>
            </w:r>
          </w:p>
        </w:tc>
        <w:tc>
          <w:tcPr>
            <w:tcW w:type="dxa" w:w="38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Engineering implication</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CON-01</w:t>
            </w:r>
          </w:p>
        </w:tc>
        <w:tc>
          <w:tcPr>
            <w:tcW w:type="dxa" w:w="1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Scope</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minimum business capabilities in Master Brief s3 are non-negotiable. Committed scope is baselined at PED v1.0 and may change only through the change control in Master Brief s14.</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Fixes the floor of the requirement set. Any addition must be paid for from schedule, and the team has no schedule reserve, so additions displace other committed work rather than extending the deadline.</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CON-02</w:t>
            </w:r>
          </w:p>
        </w:tc>
        <w:tc>
          <w:tcPr>
            <w:tcW w:type="dxa" w:w="1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Schedule</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Four assessed milestones within the SEN381 delivery period. The team works on CivicConnect alongside other modules, so available engineering time is bounded and uneven across the term.</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binding constraint on scope. It is the reason SC-D-01 to SC-D-06 are deferred rather than attempted, and the reason quality gates are defined now: under schedule pressure, testing and security are the first things silently dropped (Master Brief, s18).</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CON-03</w:t>
            </w:r>
          </w:p>
        </w:tc>
        <w:tc>
          <w:tcPr>
            <w:tcW w:type="dxa" w:w="1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Cost and resources</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Free or low-cost services are preferred. Limitations and likely operational cost beyond the educational context must be identified (Master Brief, s4). Three students; no budget for paid tiers or paid tooling.</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Directly limits the availability target in NFR-003 and the feasibility of SC-D-01. See the worked trade-off in s7.1.</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CON-04</w:t>
            </w:r>
          </w:p>
        </w:tc>
        <w:tc>
          <w:tcPr>
            <w:tcW w:type="dxa" w:w="1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Quality</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Quality attributes must be measurable and supported by evidence, not asserted (Master Brief, s4 and s15).</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Every NFR in s6.3 carries a stated measurement method. An attribute the team cannot measure within the constraints was either made measurable or removed.</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CON-05</w:t>
            </w:r>
          </w:p>
        </w:tc>
        <w:tc>
          <w:tcPr>
            <w:tcW w:type="dxa" w:w="1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Security</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Security is a lifecycle-wide responsibility (Master Brief, s16). The system holds personal information, which engages POPIA s19 (Republic of South Africa, 2013).</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Constrains the data model (FEC-01), test data (FEC-04) and the deferral of attachments (s6.4). Security requirements appear in the baseline as NFR-004 to NFR-008, not as a later hardening task.</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CON-06</w:t>
            </w:r>
          </w:p>
        </w:tc>
        <w:tc>
          <w:tcPr>
            <w:tcW w:type="dxa" w:w="1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Team capability</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Three students with prior exposure to programming, databases and web development, and limited exposure to controlled team engineering at this scale. Capability is stated honestly here because it is a real input to the M2 technology decision (Master Brief, s18.1).</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Bounds which architectures and stacks are realistically buildable and supportable. An unfamiliar stack converts schedule into learning time. See RSK-01.</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CON-07</w:t>
            </w:r>
          </w:p>
        </w:tc>
        <w:tc>
          <w:tcPr>
            <w:tcW w:type="dxa" w:w="1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Platform availability</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Belgium Campus cannot guarantee that a chosen language, framework, service or deployment platform is installed, available or supported on the BC Desktop platform (Master Brief, s25).</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Makes environment availability a precondition of the M2 technology decision rather than a discovery during construction. Recorded as RSK-02 and as a criterion in DEC-008.</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CON-08</w:t>
            </w:r>
          </w:p>
        </w:tc>
        <w:tc>
          <w:tcPr>
            <w:tcW w:type="dxa" w:w="1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Process and governance</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Protected main, Pull Requests for substantive change and a minimum of two approvals from members other than the author (Master Brief, s9).</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With three members this means every merge needs both other members. It is a quality control and a throughput constraint at the same time. See RSK-04 and FEC-07.</w:t>
            </w:r>
          </w:p>
        </w:tc>
      </w:tr>
    </w:tbl>
    <w:p>
      <w:pPr>
        <w:spacing w:after="180"/>
      </w:pPr>
    </w:p>
    <w:p>
      <w:pPr>
        <w:pStyle w:val="Heading2"/>
        <w:spacing w:after="95" w:before="230"/>
      </w:pPr>
      <w:r>
        <w:rPr>
          <w:rFonts w:ascii="Calibri" w:cs="Calibri" w:eastAsia="Calibri" w:hAnsi="Calibri"/>
          <w:b/>
          <w:bCs/>
          <w:color w:val="1F3B5C"/>
          <w:sz w:val="23"/>
          <w:szCs w:val="23"/>
        </w:rPr>
        <w:t xml:space="preserve">7.1  Worked constraint interaction: cost, availability and a deferred feature</w:t>
      </w:r>
    </w:p>
    <w:p>
      <w:pPr>
        <w:spacing w:after="120" w:before="0" w:line="264"/>
      </w:pPr>
      <w:r>
        <w:rPr>
          <w:rFonts w:ascii="Calibri" w:cs="Calibri" w:eastAsia="Calibri" w:hAnsi="Calibri"/>
          <w:color w:val="22303F"/>
          <w:sz w:val="21"/>
          <w:szCs w:val="21"/>
        </w:rPr>
        <w:t xml:space="preserve">The milestone brief requires at least one constraint interaction or ripple effect to be explained rather than listed. The following chain is the one that most shapes this baseline.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7500"/>
      </w:tblGrid>
      <w:tr>
        <w:trPr>
          <w:tblHeader/>
        </w:trPr>
        <w:tc>
          <w:tcPr>
            <w:tcW w:type="dxa" w:w="1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Step</w:t>
            </w:r>
          </w:p>
        </w:tc>
        <w:tc>
          <w:tcPr>
            <w:tcW w:type="dxa" w:w="75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What happens</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1. The cost constraint bites first</w:t>
            </w:r>
          </w:p>
        </w:tc>
        <w:tc>
          <w:tcPr>
            <w:tcW w:type="dxa" w:w="7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CON-03 directs the team to free or low-cost services. That is a project constraint, not a technical preference, and the team has no budget to override it.</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2. It propagates into a quality target</w:t>
            </w:r>
          </w:p>
        </w:tc>
        <w:tc>
          <w:tcPr>
            <w:tcW w:type="dxa" w:w="7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Free hosting tiers commonly idle or suspend inactive instances and publish no uptime guarantee. An unqualified availability target would therefore be a claim the team could not evidence, and unsupported claims are explicitly not accepted (Master Brief, s23). NFR-003 is consequently scoped to 98 per cent within published service hours rather than stated as continuous availability, and it is measured by an external probe against a health endpoint so that the figure is observable rather than asserted.</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3. It propagates again into scope</w:t>
            </w:r>
          </w:p>
        </w:tc>
        <w:tc>
          <w:tcPr>
            <w:tcW w:type="dxa" w:w="7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same free-tier limits typically restrict always-on workers and scheduled jobs. An email or SMS notification channel needs exactly that. The team cannot responsibly commit to a notification channel before knowing whether the platform can host one, so SC-D-01 is deferred rather than promised, and DEC-005 records the reasoning.</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4. It changes a later decision criterion</w:t>
            </w:r>
          </w:p>
        </w:tc>
        <w:tc>
          <w:tcPr>
            <w:tcW w:type="dxa" w:w="7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Because the deferral depends on a platform capability, background-process support becomes a required criterion in the M2 platform decision rather than a detail discovered during construction. This is recorded as FEC-03 and written into DEC-010.</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5. It leaves a residual risk that is owned, not hidden</w:t>
            </w:r>
          </w:p>
        </w:tc>
        <w:tc>
          <w:tcPr>
            <w:tcW w:type="dxa" w:w="7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If no affordable platform supports both the availability target and a background worker, the deferral becomes a permanent exclusion and NFR-003 must be revised through change control. That outcome is recorded as RSK-02 with a named owner and a contingency, so it is a managed risk rather than a surprise.</w:t>
            </w:r>
          </w:p>
        </w:tc>
      </w:tr>
    </w:tbl>
    <w:p>
      <w:pPr>
        <w:spacing w:after="16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400"/>
      </w:tblGrid>
      <w:tr>
        <w:tc>
          <w:tcPr>
            <w:tcW w:type="dxa" w:w="9400"/>
            <w:tcBorders>
              <w:top w:val="single" w:color="EAF1F6" w:sz="4"/>
              <w:left w:val="single" w:color="1F3B5C" w:sz="18"/>
              <w:bottom w:val="single" w:color="EAF1F6" w:sz="4"/>
              <w:right w:val="single" w:color="EAF1F6" w:sz="4"/>
            </w:tcBorders>
            <w:shd w:fill="EAF1F6" w:color="auto" w:val="clear"/>
            <w:tcMar>
              <w:top w:type="dxa" w:w="125"/>
              <w:left w:type="dxa" w:w="155"/>
              <w:bottom w:type="dxa" w:w="125"/>
              <w:right w:type="dxa" w:w="155"/>
            </w:tcMar>
          </w:tcPr>
          <w:p>
            <w:pPr>
              <w:spacing w:after="60" w:before="0" w:line="264"/>
            </w:pPr>
            <w:r>
              <w:rPr>
                <w:rFonts w:ascii="Calibri" w:cs="Calibri" w:eastAsia="Calibri" w:hAnsi="Calibri"/>
                <w:b/>
                <w:bCs/>
                <w:color w:val="1F3B5C"/>
                <w:sz w:val="21"/>
                <w:szCs w:val="21"/>
              </w:rPr>
              <w:t xml:space="preserve">What this chain demonstrates</w:t>
            </w:r>
          </w:p>
          <w:p>
            <w:pPr>
              <w:spacing w:after="0" w:before="0" w:line="264"/>
            </w:pPr>
            <w:r>
              <w:rPr>
                <w:rFonts w:ascii="Calibri" w:cs="Calibri" w:eastAsia="Calibri" w:hAnsi="Calibri"/>
                <w:color w:val="22303F"/>
                <w:sz w:val="20"/>
                <w:szCs w:val="20"/>
              </w:rPr>
              <w:t xml:space="preserve">One financial constraint, applied honestly, changed a quality target, removed a feature from committed scope, added a criterion to a decision that will not be taken for another milestone, and generated a risk with an owner. None of those five effects is visible if constraints are recorded as a list. This is the reasoning the team is prepared to defend when asked how a constraint influenced the baseline.</w:t>
            </w:r>
          </w:p>
        </w:tc>
      </w:tr>
    </w:tbl>
    <w:p>
      <w:pPr>
        <w:pageBreakBefore/>
      </w:pPr>
    </w:p>
    <w:p>
      <w:pPr>
        <w:sectPr>
          <w:headerReference w:type="default" r:id="rId11"/>
          <w:footerReference w:type="default" r:id="rId12"/>
          <w:pgSz w:w="11906" w:h="16838" w:orient="portrait"/>
          <w:pgMar w:top="1134" w:right="1247" w:bottom="1000" w:left="1247" w:header="708" w:footer="708" w:gutter="0"/>
          <w:pgNumType/>
          <w:docGrid w:linePitch="360"/>
        </w:sectPr>
      </w:pPr>
    </w:p>
    <w:p>
      <w:pPr>
        <w:pStyle w:val="Heading1"/>
        <w:pBdr>
          <w:bottom w:val="single" w:color="1F3B5C" w:sz="8" w:space="4"/>
        </w:pBdr>
        <w:spacing w:after="130" w:before="300"/>
      </w:pPr>
      <w:r>
        <w:rPr>
          <w:rFonts w:ascii="Calibri" w:cs="Calibri" w:eastAsia="Calibri" w:hAnsi="Calibri"/>
          <w:b/>
          <w:bCs/>
          <w:color w:val="1F3B5C"/>
          <w:sz w:val="28"/>
          <w:szCs w:val="28"/>
        </w:rPr>
        <w:t xml:space="preserve">8.  Requirements and Acceptance Criteria</w:t>
      </w:r>
    </w:p>
    <w:p>
      <w:pPr>
        <w:spacing w:after="120" w:before="0" w:line="264"/>
      </w:pPr>
      <w:r>
        <w:rPr>
          <w:rFonts w:ascii="Calibri" w:cs="Calibri" w:eastAsia="Calibri" w:hAnsi="Calibri"/>
          <w:b/>
          <w:bCs/>
          <w:color w:val="22303F"/>
          <w:sz w:val="20"/>
          <w:szCs w:val="20"/>
        </w:rPr>
        <w:t xml:space="preserve">Approach.</w:t>
      </w:r>
      <w:r>
        <w:rPr>
          <w:rFonts w:ascii="Calibri" w:cs="Calibri" w:eastAsia="Calibri" w:hAnsi="Calibri"/>
          <w:color w:val="22303F"/>
          <w:sz w:val="20"/>
          <w:szCs w:val="20"/>
        </w:rPr>
        <w:t xml:space="preserve"> Requirements are written to be individually verifiable, unambiguous and singular, following the characteristics of a well-formed requirement in ISO/IEC/IEEE 29148:2018. Each carries a unique identifier, a stakeholder source, a MoSCoW priority and acceptance criteria expressed so that a tester can determine pass or fail without asking the author what was meant. Priorities are recorded because RSK-03 designates the Should and Could set as the absorption buffer for the change request expected in M3.</w:t>
      </w:r>
    </w:p>
    <w:p>
      <w:pPr>
        <w:spacing w:after="120" w:before="0" w:line="264"/>
      </w:pPr>
      <w:r>
        <w:rPr>
          <w:rFonts w:ascii="Calibri" w:cs="Calibri" w:eastAsia="Calibri" w:hAnsi="Calibri"/>
          <w:b/>
          <w:bCs/>
          <w:color w:val="22303F"/>
          <w:sz w:val="20"/>
          <w:szCs w:val="20"/>
        </w:rPr>
        <w:t xml:space="preserve">Note on the acceptance criteria.</w:t>
      </w:r>
      <w:r>
        <w:rPr>
          <w:rFonts w:ascii="Calibri" w:cs="Calibri" w:eastAsia="Calibri" w:hAnsi="Calibri"/>
          <w:color w:val="22303F"/>
          <w:sz w:val="20"/>
          <w:szCs w:val="20"/>
        </w:rPr>
        <w:t xml:space="preserve"> Several criteria specify that a refusal must hold when the request is issued directly to the endpoint rather than through the interface. That wording is deliberate: authorisation implemented only in the user interface is not authorisation, and stating it in the criterion is what makes the M3 negative tests derivable from this document (NFR-005).</w:t>
      </w:r>
    </w:p>
    <w:p>
      <w:pPr>
        <w:spacing w:after="120"/>
      </w:pPr>
    </w:p>
    <w:p>
      <w:pPr>
        <w:pStyle w:val="Heading2"/>
        <w:spacing w:after="95" w:before="230"/>
      </w:pPr>
      <w:r>
        <w:rPr>
          <w:rFonts w:ascii="Calibri" w:cs="Calibri" w:eastAsia="Calibri" w:hAnsi="Calibri"/>
          <w:b/>
          <w:bCs/>
          <w:color w:val="1F3B5C"/>
          <w:sz w:val="23"/>
          <w:szCs w:val="23"/>
        </w:rPr>
        <w:t xml:space="preserve">8.1  Functional requirements</w:t>
      </w:r>
    </w:p>
    <w:tbl>
      <w:tblPr>
        <w:tblW w:type="dxa" w:w="14600"/>
        <w:tblBorders>
          <w:top w:val="single" w:color="auto" w:sz="4"/>
          <w:left w:val="single" w:color="auto" w:sz="4"/>
          <w:bottom w:val="single" w:color="auto" w:sz="4"/>
          <w:right w:val="single" w:color="auto" w:sz="4"/>
          <w:insideH w:val="single" w:color="auto" w:sz="4"/>
          <w:insideV w:val="single" w:color="auto" w:sz="4"/>
        </w:tblBorders>
      </w:tblPr>
      <w:tblGrid>
        <w:gridCol w:w="850"/>
        <w:gridCol w:w="3900"/>
        <w:gridCol w:w="1050"/>
        <w:gridCol w:w="850"/>
        <w:gridCol w:w="6900"/>
        <w:gridCol w:w="1050"/>
      </w:tblGrid>
      <w:tr>
        <w:trPr>
          <w:tblHeader/>
        </w:trPr>
        <w:tc>
          <w:tcPr>
            <w:tcW w:type="dxa" w:w="8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ID</w:t>
            </w:r>
          </w:p>
        </w:tc>
        <w:tc>
          <w:tcPr>
            <w:tcW w:type="dxa" w:w="3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Requirement</w:t>
            </w:r>
          </w:p>
        </w:tc>
        <w:tc>
          <w:tcPr>
            <w:tcW w:type="dxa" w:w="10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Source</w:t>
            </w:r>
          </w:p>
        </w:tc>
        <w:tc>
          <w:tcPr>
            <w:tcW w:type="dxa" w:w="8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Priority</w:t>
            </w:r>
          </w:p>
        </w:tc>
        <w:tc>
          <w:tcPr>
            <w:tcW w:type="dxa" w:w="6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Acceptance criteria</w:t>
            </w:r>
          </w:p>
        </w:tc>
        <w:tc>
          <w:tcPr>
            <w:tcW w:type="dxa" w:w="10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Status</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FR-001</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require a registered user to authenticate with a unique identifier and secret before any service request data is returned.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STK-06, STK-07</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an unauthenticated visitor WHEN any protected page or endpoint is requested THEN no request data is returned and the visitor is redirected to sign-in. GIVEN valid credentials WHEN submitted THEN an authenticated session is established. GIVEN invalid credentials WHEN submitted THEN a single generic failure message is shown that does not reveal whether the identifier exists.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FR-002</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enforce role-based access control for the roles Requester, Staff, Coordinator and Manager, with every permission decision made server-side.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STK-03, STK-06</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For every role and function pair in the access matrix (s8.4), a user holding the role can invoke the permitted functions and receives an authorisation failure for every function not permitted to that role, including when the request is issued directly to the endpoint rather than through the interface.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FR-003</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Manager to create a user account and assign exactly one role to it.</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STK-05</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 Manager WHEN a new account is created with a role THEN the account can authenticate and holds only that role's permissions. A non-Manager attempting account creation is refused.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FR-004</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user to reset a forgotten credential through a controlled process that does not disclose whether an account exists.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 reset request for any identifier WHEN submitted THEN the same confirmation message is shown whether or not the account exists. A reset link is single-use and expires within a defined period.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FR-005</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Requester to submit a service request capturing title, description, category, location and reported urgency.</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 Requester with all mandatory fields completed WHEN the request is submitted THEN the request is persisted with status New and is visible in the Requester's own list. Every field captured is displayed unchanged on the request detail view.</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FR-006</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require the request category to be selected from a controlled list maintained by a Manager, and shall not accept a free-text category.</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STK-04, STK-05</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category input offers only active categories from the controlled list. A submission carrying a category value that is not an active list entry is rejected with a validation error, including when submitted directly to the endpoint.</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FR-007</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validate mandatory fields and field formats before accepting a submission, and shall report each failure in a message that identifies the field and the correction needed.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 submission with a missing or invalid mandatory field WHEN submitted THEN the request is not persisted, each failing field is identified, and previously entered values are retained in the form.</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FR-008</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assign every accepted request a unique, human-readable reference that is never reused.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 STK-03</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Each accepted submission receives a reference matching the agreed format. Two requests never share a reference. A reference is not reissued after a request is deleted or archived. The reference is displayed on submission and on every subsequent view of that request.</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FR-009</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present the Requester with an in-application acknowledgement on successful submission, showing the reference and the date and time recorded.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 successful submission WHEN the acknowledgement is displayed THEN it contains the reference and the recorded timestamp, and the same values appear on the request detail view.</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FR-010</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Requester to view a list of their own requests showing reference, title, category, current status, submission date and date of last update.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 Requester with at least one request WHEN the list is opened THEN every request they submitted appears exactly once with all six fields populated, and no request submitted by another user appears.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FR-011</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Requester to view the full detail and status history of their own request, showing only entries marked requester-visible.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 STK-02</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detail view shows the request fields, the ordered status history with timestamps, and only those action entries marked requester-visible. No entry marked internal appears in the response payload, not only in the rendered page.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FR-012</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prevent a Requester from retrieving any request they did not submit.</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 STK-07</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Requester A and a request belonging to Requester B WHEN A requests that record by reference or identifier, through the interface or directly THEN access is refused and no field of the record is disclosed, including through an error message.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FR-013</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present Staff and Coordinators with a work queue of requests within their authorised category scope.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STK-02, STK-03</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 Staff member authorised for a set of categories WHEN the queue is opened THEN every open request in those categories appears and no request outside them appears. A Coordinator sees all categories.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FR-014</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the queue to be searched by reference and by keyword, filtered by status, category, assignee and date range, and sorted by submission date, last update and priority.</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STK-02, STK-03</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Each named search, filter and sort returns only records satisfying the stated condition, filters combine, and an empty result set is reported as such rather than as an error.</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FR-015</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Coordinator to assign a request to a Staff member, and a Staff member to accept an unassigned request within their authorised categories.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STK-03</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 Coordinator WHEN a request is assigned THEN the assignee is recorded and the request appears in that assignee's queue. GIVEN a Staff member and an unassigned request in their scope WHEN accepted THEN they become the assignee. A Staff member cannot assign a request to another user.</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FR-016</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permit a status change only where the transition is allowed by the request status model (PED Figure 2) and only by a role authorised for that transition.</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STK-03, STK-04</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For every ordered pair of statuses, a transition allowed by the model succeeds for an authorised role and every transition not in the model is refused, including when issued directly to the endpoint. A refused transition leaves the stored status unchanged.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FR-017</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Staff and Coordinators to record a dated action entry against a request, marked either internal or requester-visible at the time of entry.</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STK-02</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An entry is stored with author, timestamp and visibility. Visibility must be chosen explicitly; there is no default that silently exposes an internal note. FR-011 governs what the Requester then sees.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FR-018</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require a resolution summary before a request may move to Resolved.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STK-03, STK-04</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An attempt to move a request to Resolved without a non-empty resolution summary is refused with a validation message. On success the summary is stored and is requester-visible.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FR-019</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only a Coordinator or Manager to move a Resolved request to Closed.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STK-03</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 Coordinator or Manager can close a Resolved request. A Staff member or Requester attempting the same transition is refused. Closing is recorded in the audit trail.</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FR-020</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Coordinator to reject a request with a mandatory reason that is shown to the Requester.</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STK-03, STK-01</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Rejection without a reason is refused. On rejection the status becomes Rejected, the reason is stored and appears on the Requester's detail view, and the event is audited.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FR-021</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record the Requester's reported urgency as a separate attribute from the priority, and shall allow only a Coordinator to set or change the priority.</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 STK-03</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Reported urgency is captured at submission and is not editable by Staff or Coordinators. Priority is absent until set by a Coordinator. A Requester or Staff member attempting to change priority is refused. Both values are visible to Coordinators.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FR-022</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present a Manager with counts of open, overdue, resolved and closed requests for a selected period.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STK-04</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For a seeded dataset with known values, each of the four counts equals the independently calculated value. Overdue uses the single organisation-wide response target defined in the status model.</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FR-023</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present the request counts broken down by category and by status.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STK-04</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breakdown totals reconcile exactly to the totals in FR-022 for the same period and filters.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FR-024</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list overdue requests with reference, category, age and current assignee.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STK-03, STK-04</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Every request whose age against the response target exceeds the threshold appears exactly once with all four fields populated; no request within the target appears.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FR-025</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record an audit entry for every change of status, assignee and priority, capturing the actor, timestamp, previous value and new value.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STK-04, STK-07</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For each of the three change types, performing the change creates exactly one audit entry containing all four fields, and the previous value matches the value held immediately before the change.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FR-026</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not provide any application function that edits or deletes an audit entry.</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STK-04, STK-07</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No interface or endpoint accepts an update or delete against an audit entry. Attempted modification through an exposed route is refused. Verified by review of the access matrix and by negative test.</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FR-027</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Manager to add, rename and deactivate a category, and shall not permit deletion of a category that is referenced by any request.</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STK-05</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 deactivated category is unavailable for new submissions and remains displayed correctly on existing requests. An attempt to delete a referenced category is refused with an explanatory message.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FR-028</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Manager to deactivate a user account so that it can no longer authenticate, while preserving that user's historical records and audit entries.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STK-05</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Could</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 deactivated account cannot authenticate. Requests, action entries and audit entries authored by that account remain visible and correctly attributed.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FR-029</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present the Requester with an in-application indication when a request they submitted is accepted, updated, rejected or completed.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Following each of the four events, an indication is available to the Requester on next sign-in that identifies the request by reference and the event that occurred.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bl>
    <w:p>
      <w:pPr>
        <w:spacing w:after="200"/>
      </w:pPr>
    </w:p>
    <w:p>
      <w:pPr>
        <w:pStyle w:val="Heading2"/>
        <w:spacing w:after="95" w:before="230"/>
      </w:pPr>
      <w:r>
        <w:rPr>
          <w:rFonts w:ascii="Calibri" w:cs="Calibri" w:eastAsia="Calibri" w:hAnsi="Calibri"/>
          <w:b/>
          <w:bCs/>
          <w:color w:val="1F3B5C"/>
          <w:sz w:val="23"/>
          <w:szCs w:val="23"/>
        </w:rPr>
        <w:t xml:space="preserve">8.2  Non-functional requirements</w:t>
      </w:r>
    </w:p>
    <w:p>
      <w:pPr>
        <w:spacing w:after="120" w:before="0" w:line="264"/>
      </w:pPr>
      <w:r>
        <w:rPr>
          <w:rFonts w:ascii="Calibri" w:cs="Calibri" w:eastAsia="Calibri" w:hAnsi="Calibri"/>
          <w:color w:val="22303F"/>
          <w:sz w:val="19"/>
          <w:szCs w:val="19"/>
        </w:rPr>
        <w:t xml:space="preserve">Every target below states a number and the method by which it is measured. A quality attribute the team could not measure within its constraints was either made measurable or removed, because an unmeasurable target produces an unsupported claim at M4 (Master Brief, s15).</w:t>
      </w:r>
    </w:p>
    <w:tbl>
      <w:tblPr>
        <w:tblW w:type="dxa" w:w="14600"/>
        <w:tblBorders>
          <w:top w:val="single" w:color="auto" w:sz="4"/>
          <w:left w:val="single" w:color="auto" w:sz="4"/>
          <w:bottom w:val="single" w:color="auto" w:sz="4"/>
          <w:right w:val="single" w:color="auto" w:sz="4"/>
          <w:insideH w:val="single" w:color="auto" w:sz="4"/>
          <w:insideV w:val="single" w:color="auto" w:sz="4"/>
        </w:tblBorders>
      </w:tblPr>
      <w:tblGrid>
        <w:gridCol w:w="850"/>
        <w:gridCol w:w="1900"/>
        <w:gridCol w:w="3100"/>
        <w:gridCol w:w="3300"/>
        <w:gridCol w:w="3700"/>
        <w:gridCol w:w="1000"/>
        <w:gridCol w:w="750"/>
      </w:tblGrid>
      <w:tr>
        <w:trPr>
          <w:tblHeader/>
        </w:trPr>
        <w:tc>
          <w:tcPr>
            <w:tcW w:type="dxa" w:w="8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ID</w:t>
            </w:r>
          </w:p>
        </w:tc>
        <w:tc>
          <w:tcPr>
            <w:tcW w:type="dxa" w:w="1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Quality characteristic (ISO/IEC 25010:2023)</w:t>
            </w:r>
          </w:p>
        </w:tc>
        <w:tc>
          <w:tcPr>
            <w:tcW w:type="dxa" w:w="3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Requirement</w:t>
            </w:r>
          </w:p>
        </w:tc>
        <w:tc>
          <w:tcPr>
            <w:tcW w:type="dxa" w:w="33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Measurable target</w:t>
            </w:r>
          </w:p>
        </w:tc>
        <w:tc>
          <w:tcPr>
            <w:tcW w:type="dxa" w:w="37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How it is measured</w:t>
            </w:r>
          </w:p>
        </w:tc>
        <w:tc>
          <w:tcPr>
            <w:tcW w:type="dxa" w:w="10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Source</w:t>
            </w:r>
          </w:p>
        </w:tc>
        <w:tc>
          <w:tcPr>
            <w:tcW w:type="dxa" w:w="7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Pri.</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NFR-001</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Performance efficiency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Staff queue retrieval shall remain responsive at the baselined data volume.</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95th percentile response under 2.0 seconds for a queue of 5 000 requests returning the first page</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20 timed retrievals against a seeded 5 000-request dataset on the target environment; record the distribution, not the mean</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STK-02</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NFR-002</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Performance efficiency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Request submission shall confirm quickly enough that the Requester does not resubmit.</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95th percentile under 3.0 seconds from submit to acknowledgement</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20 timed submissions on the target environment under normal conditions</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NFR-003</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Reliability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service shall be available during published service hours.</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98 percent availability measured across published service hours (weekdays 07:00 to 17:00 SAST), assessed monthly</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External uptime probe at 5-minute intervals against a health endpoint; monthly report. The target is deliberately scoped to service hours because of CON-03; see the trade-off in s7.1 and RSK-02</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STK-06</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NFR-004</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Security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Authentication secrets shall not be recoverable from stored data.</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Stored using a current, deliberately slow password hashing function with a per-user salt; no plaintext, reversible or unsalted storage anywhere</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Inspection of stored values in a test environment plus code review recorded on the Pull Request; supported by NIST (2022) practice PW.4</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STK-06, STK-07</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NFR-005</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Security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Authorisation shall be enforced on the server for every protected function.</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Zero successful accesses across the full negative-test matrix of role and function pairs</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Automated negative tests derived from the access matrix, executed directly against endpoints rather than through the interface; addresses OWASP A01:2025 (OWASP, 2025)</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STK-06</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NFR-006</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Security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All traffic between client and service shall be encrypted in transit.</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100 percent of requests served over HTTPS; plain HTTP redirected; no mixed content</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Automated check of scheme and redirect behaviour in the deployment verification step</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STK-06, STK-07</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NFR-007</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Security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No credential, key or token shall be present in the repository or its history.</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Zero findings from secret scanning across the full commit history</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Automated secret scanning on every Pull Request plus a full-history scan before each baseline; addresses Master Brief s9</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STK-06</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NFR-008</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Security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Personal information shall be limited to what the service requires and shall be accessible only to roles that need it.</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Only name, contact detail and request content are stored as personal information; every field is justified in the data inventory; access is governed by the FR-002 access matrix</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Data inventory reviewed at each baseline against the access matrix; POPIA s19 requires appropriate, reasonable technical and organisational measures (Republic of South Africa, 2013)</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STK-07</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NFR-009</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Interaction capability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 first-time Requester shall be able to submit a request without training or assistance.</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At least 4 of 5 representative first-time users complete a submission unaided within 3 minutes</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Moderated task test with 5 participants who have not seen the system; record completion, time and observed errors</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NFR-010</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Interaction capability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interface shall be operable without a mouse and legible to users with low vision.</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All interactive controls reachable and operable by keyboard with a visible focus indicator; every form control programmatically labelled; body text contrast at least 4.5:1</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Keyboard traversal of each primary flow plus automated contrast and label checks, against the WCAG 2.2 Level AA criteria cited (W3C, 2023)</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NFR-011</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Functional suitability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Every change to status, assignee or priority shall produce an audit record.</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100 percent of such changes produce exactly one complete audit entry; no orphaned or partial entries</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Automated test asserting audit entry creation for each change type, plus a reconciliation query comparing change counts to audit counts</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STK-04</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NFR-012</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Maintainability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team shall be able to change the system without silently breaking committed behaviour.</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Automated tests covering every Must-priority functional requirement pass on every Pull Request before merge is permitted</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Pull Request check status; the requirement-to-test mapping is held in the RTM. Which tooling provides this is an M2 and M3 decision, not an M1 commitment</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STK-09</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NFR-013</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Flexibility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service shall operate within the cost ceiling set by CON-03.</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Running cost of zero within free-tier limits for the assessed period, with documented limits and the projected cost beyond the educational context</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Platform limit documentation captured in the M2 decision record plus a recorded cost review before production release; unsupported claims that a platform is free are not acceptable (Master Brief, s23)</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STK-06</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bl>
    <w:p>
      <w:pPr>
        <w:spacing w:after="200"/>
      </w:pPr>
    </w:p>
    <w:p>
      <w:pPr>
        <w:pStyle w:val="Heading2"/>
        <w:spacing w:after="95" w:before="230"/>
      </w:pPr>
      <w:r>
        <w:rPr>
          <w:rFonts w:ascii="Calibri" w:cs="Calibri" w:eastAsia="Calibri" w:hAnsi="Calibri"/>
          <w:b/>
          <w:bCs/>
          <w:color w:val="1F3B5C"/>
          <w:sz w:val="23"/>
          <w:szCs w:val="23"/>
        </w:rPr>
        <w:t xml:space="preserve">8.3  Role and function access matrix</w:t>
      </w:r>
    </w:p>
    <w:p>
      <w:pPr>
        <w:spacing w:after="120" w:before="0" w:line="264"/>
      </w:pPr>
      <w:r>
        <w:rPr>
          <w:rFonts w:ascii="Calibri" w:cs="Calibri" w:eastAsia="Calibri" w:hAnsi="Calibri"/>
          <w:color w:val="22303F"/>
          <w:sz w:val="19"/>
          <w:szCs w:val="19"/>
        </w:rPr>
        <w:t xml:space="preserve">This matrix is the authoritative statement of FR-002. Every entry marked No is a negative test case in M3, which is how NFR-005 becomes verifiable rather than aspirational.</w:t>
      </w:r>
    </w:p>
    <w:tbl>
      <w:tblPr>
        <w:tblW w:type="dxa" w:w="14600"/>
        <w:tblBorders>
          <w:top w:val="single" w:color="auto" w:sz="4"/>
          <w:left w:val="single" w:color="auto" w:sz="4"/>
          <w:bottom w:val="single" w:color="auto" w:sz="4"/>
          <w:right w:val="single" w:color="auto" w:sz="4"/>
          <w:insideH w:val="single" w:color="auto" w:sz="4"/>
          <w:insideV w:val="single" w:color="auto" w:sz="4"/>
        </w:tblBorders>
      </w:tblPr>
      <w:tblGrid>
        <w:gridCol w:w="6200"/>
        <w:gridCol w:w="2100"/>
        <w:gridCol w:w="2100"/>
        <w:gridCol w:w="2100"/>
        <w:gridCol w:w="2100"/>
      </w:tblGrid>
      <w:tr>
        <w:trPr>
          <w:tblHeader/>
        </w:trPr>
        <w:tc>
          <w:tcPr>
            <w:tcW w:type="dxa" w:w="62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Function</w:t>
            </w:r>
          </w:p>
        </w:tc>
        <w:tc>
          <w:tcPr>
            <w:tcW w:type="dxa" w:w="2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Requester</w:t>
            </w:r>
          </w:p>
        </w:tc>
        <w:tc>
          <w:tcPr>
            <w:tcW w:type="dxa" w:w="2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Staff</w:t>
            </w:r>
          </w:p>
        </w:tc>
        <w:tc>
          <w:tcPr>
            <w:tcW w:type="dxa" w:w="2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Coordinator</w:t>
            </w:r>
          </w:p>
        </w:tc>
        <w:tc>
          <w:tcPr>
            <w:tcW w:type="dxa" w:w="2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Manager</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Submit a request</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View own requests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View any request in authorised categories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View internal action entries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Assign a request to another user</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Accept an unassigned request in scope</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Record an action entry</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Change status (model-permitted transitions)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Move Resolved to Closed</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Reject a request</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Set or change priority</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View management counts and breakdowns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Maintain the category list</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Create or deactivate a user account</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Edit or delete an audit entry</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r>
    </w:tbl>
    <w:p>
      <w:pPr>
        <w:sectPr>
          <w:headerReference w:type="default" r:id="rId13"/>
          <w:footerReference w:type="default" r:id="rId14"/>
          <w:pgSz w:w="16838" w:h="11906" w:orient="landscape"/>
          <w:pgMar w:top="1000" w:right="1100" w:bottom="900" w:left="1100" w:header="708" w:footer="708" w:gutter="0"/>
          <w:pgNumType/>
          <w:docGrid w:linePitch="360"/>
        </w:sectPr>
      </w:pPr>
    </w:p>
    <w:p>
      <w:pPr>
        <w:pStyle w:val="Heading2"/>
        <w:spacing w:after="95" w:before="230"/>
      </w:pPr>
      <w:r>
        <w:rPr>
          <w:rFonts w:ascii="Calibri" w:cs="Calibri" w:eastAsia="Calibri" w:hAnsi="Calibri"/>
          <w:b/>
          <w:bCs/>
          <w:color w:val="1F3B5C"/>
          <w:sz w:val="23"/>
          <w:szCs w:val="23"/>
        </w:rPr>
        <w:t xml:space="preserve">8.4  Request status model</w:t>
      </w:r>
    </w:p>
    <w:p>
      <w:pPr>
        <w:spacing w:after="120" w:before="0" w:line="264"/>
      </w:pPr>
      <w:r>
        <w:rPr>
          <w:rFonts w:ascii="Calibri" w:cs="Calibri" w:eastAsia="Calibri" w:hAnsi="Calibri"/>
          <w:color w:val="22303F"/>
          <w:sz w:val="21"/>
          <w:szCs w:val="21"/>
        </w:rPr>
        <w:t xml:space="preserve">The status model below is baselined in this document rather than deferred to design, because every management figure in FR-022 to FR-024 is derived from status and timestamps, and a state added or redefined after requests exist cannot be applied to historical records. That is recorded as RSK-09 and as FEC-02.</w:t>
      </w:r>
    </w:p>
    <w:p>
      <w:pPr>
        <w:spacing w:after="90" w:before="60"/>
        <w:jc w:val="center"/>
      </w:pPr>
      <w:r>
        <w:drawing>
          <wp:inline distT="0" distB="0" distL="0" distR="0">
            <wp:extent cx="8382000" cy="504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8382000" cy="5048250"/>
                    </a:xfrm>
                    <a:prstGeom prst="rect">
                      <a:avLst/>
                    </a:prstGeom>
                  </pic:spPr>
                </pic:pic>
              </a:graphicData>
            </a:graphic>
          </wp:inline>
        </w:drawing>
      </w:r>
    </w:p>
    <w:p>
      <w:pPr>
        <w:spacing w:after="160" w:before="0" w:line="264"/>
        <w:jc w:val="center"/>
      </w:pPr>
      <w:r>
        <w:rPr>
          <w:rFonts w:ascii="Calibri" w:cs="Calibri" w:eastAsia="Calibri" w:hAnsi="Calibri"/>
          <w:b/>
          <w:bCs/>
          <w:color w:val="5C6B7A"/>
          <w:sz w:val="18"/>
          <w:szCs w:val="18"/>
        </w:rPr>
        <w:t xml:space="preserve">Figure 2.</w:t>
      </w:r>
      <w:r>
        <w:rPr>
          <w:rFonts w:ascii="Calibri" w:cs="Calibri" w:eastAsia="Calibri" w:hAnsi="Calibri"/>
          <w:color w:val="5C6B7A"/>
          <w:sz w:val="18"/>
          <w:szCs w:val="18"/>
        </w:rPr>
        <w:t xml:space="preserve"> CivicConnect request status model. Original diagram produced by the team.</w:t>
      </w:r>
    </w:p>
    <w:p>
      <w:pPr>
        <w:spacing w:after="120" w:before="0" w:line="264"/>
      </w:pPr>
      <w:r>
        <w:rPr>
          <w:rFonts w:ascii="Calibri" w:cs="Calibri" w:eastAsia="Calibri" w:hAnsi="Calibri"/>
          <w:color w:val="22303F"/>
          <w:sz w:val="21"/>
          <w:szCs w:val="21"/>
        </w:rPr>
        <w:t xml:space="preserve">Three properties of this model carry engineering weight. First, it is closed: FR-016 refuses any transition not drawn, which makes the set of valid states testable rather than emergent. Second, no transition belongs to the Requester, which is what makes the audit trail meaningful - every state change has an accountable staff actor. Third, overdue is derived from age against a single organisation-wide target rather than stored as a status, so a request cannot be overdue and In Progress simultaneously in one field and not another. Per-category targets were deliberately deferred (SC-D-03) to keep that definition unambiguous.</w:t>
      </w:r>
    </w:p>
    <w:p>
      <w:pPr>
        <w:pageBreakBefore/>
      </w:pPr>
    </w:p>
    <w:p>
      <w:pPr>
        <w:sectPr>
          <w:headerReference w:type="default" r:id="rId15"/>
          <w:footerReference w:type="default" r:id="rId16"/>
          <w:pgSz w:w="11906" w:h="16838" w:orient="portrait"/>
          <w:pgMar w:top="1134" w:right="1247" w:bottom="1000" w:left="1247" w:header="708" w:footer="708" w:gutter="0"/>
          <w:pgNumType/>
          <w:docGrid w:linePitch="360"/>
        </w:sectPr>
      </w:pPr>
    </w:p>
    <w:p>
      <w:pPr>
        <w:pStyle w:val="Heading1"/>
        <w:pBdr>
          <w:bottom w:val="single" w:color="1F3B5C" w:sz="8" w:space="4"/>
        </w:pBdr>
        <w:spacing w:after="130" w:before="300"/>
      </w:pPr>
      <w:r>
        <w:rPr>
          <w:rFonts w:ascii="Calibri" w:cs="Calibri" w:eastAsia="Calibri" w:hAnsi="Calibri"/>
          <w:b/>
          <w:bCs/>
          <w:color w:val="1F3B5C"/>
          <w:sz w:val="28"/>
          <w:szCs w:val="28"/>
        </w:rPr>
        <w:t xml:space="preserve">9.  Requirements Traceability Matrix</w:t>
      </w:r>
    </w:p>
    <w:p>
      <w:pPr>
        <w:spacing w:after="120" w:before="0" w:line="264"/>
      </w:pPr>
      <w:r>
        <w:rPr>
          <w:rFonts w:ascii="Calibri" w:cs="Calibri" w:eastAsia="Calibri" w:hAnsi="Calibri"/>
          <w:color w:val="22303F"/>
          <w:sz w:val="20"/>
          <w:szCs w:val="20"/>
        </w:rPr>
        <w:t xml:space="preserve">The live RTM is maintained in the registers workbook and in the repository; it holds one row per requirement, 42 rows in total. The extract below shows its structure. Columns for design, issue and Pull Request, implementation, test and release evidence are present and deliberately empty: they are the structure into which M2, M3 and M4 evidence is added, and their presence now is what makes the M3 change request an impact lookup rather than an investigation (RSK-03).</w:t>
      </w:r>
    </w:p>
    <w:tbl>
      <w:tblPr>
        <w:tblW w:type="dxa" w:w="16200"/>
        <w:tblBorders>
          <w:top w:val="single" w:color="auto" w:sz="4"/>
          <w:left w:val="single" w:color="auto" w:sz="4"/>
          <w:bottom w:val="single" w:color="auto" w:sz="4"/>
          <w:right w:val="single" w:color="auto" w:sz="4"/>
          <w:insideH w:val="single" w:color="auto" w:sz="4"/>
          <w:insideV w:val="single" w:color="auto" w:sz="4"/>
        </w:tblBorders>
      </w:tblPr>
      <w:tblGrid>
        <w:gridCol w:w="800"/>
        <w:gridCol w:w="1250"/>
        <w:gridCol w:w="850"/>
        <w:gridCol w:w="3300"/>
        <w:gridCol w:w="750"/>
        <w:gridCol w:w="2400"/>
        <w:gridCol w:w="1250"/>
        <w:gridCol w:w="950"/>
        <w:gridCol w:w="950"/>
        <w:gridCol w:w="950"/>
        <w:gridCol w:w="900"/>
        <w:gridCol w:w="950"/>
        <w:gridCol w:w="900"/>
      </w:tblGrid>
      <w:tr>
        <w:trPr>
          <w:tblHeader/>
        </w:trPr>
        <w:tc>
          <w:tcPr>
            <w:tcW w:type="dxa" w:w="8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RTM ID</w:t>
            </w:r>
          </w:p>
        </w:tc>
        <w:tc>
          <w:tcPr>
            <w:tcW w:type="dxa" w:w="12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Source (stakeholder / brief)</w:t>
            </w:r>
          </w:p>
        </w:tc>
        <w:tc>
          <w:tcPr>
            <w:tcW w:type="dxa" w:w="8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Req ID</w:t>
            </w:r>
          </w:p>
        </w:tc>
        <w:tc>
          <w:tcPr>
            <w:tcW w:type="dxa" w:w="33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Requirement summary</w:t>
            </w:r>
          </w:p>
        </w:tc>
        <w:tc>
          <w:tcPr>
            <w:tcW w:type="dxa" w:w="7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Priority</w:t>
            </w:r>
          </w:p>
        </w:tc>
        <w:tc>
          <w:tcPr>
            <w:tcW w:type="dxa" w:w="24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Acceptance criteria</w:t>
            </w:r>
          </w:p>
        </w:tc>
        <w:tc>
          <w:tcPr>
            <w:tcW w:type="dxa" w:w="12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Related risk / FEC</w:t>
            </w:r>
          </w:p>
        </w:tc>
        <w:tc>
          <w:tcPr>
            <w:tcW w:type="dxa" w:w="9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Design ref (M2)</w:t>
            </w:r>
          </w:p>
        </w:tc>
        <w:tc>
          <w:tcPr>
            <w:tcW w:type="dxa" w:w="9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Issue / PR (M3)</w:t>
            </w:r>
          </w:p>
        </w:tc>
        <w:tc>
          <w:tcPr>
            <w:tcW w:type="dxa" w:w="9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Implementation (M3)</w:t>
            </w:r>
          </w:p>
        </w:tc>
        <w:tc>
          <w:tcPr>
            <w:tcW w:type="dxa" w:w="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Test ref (M3)</w:t>
            </w:r>
          </w:p>
        </w:tc>
        <w:tc>
          <w:tcPr>
            <w:tcW w:type="dxa" w:w="9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Release evidence (M4)</w:t>
            </w:r>
          </w:p>
        </w:tc>
        <w:tc>
          <w:tcPr>
            <w:tcW w:type="dxa" w:w="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Status</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TR-001</w:t>
            </w:r>
          </w:p>
        </w:tc>
        <w:tc>
          <w:tcPr>
            <w:tcW w:type="dxa" w:w="12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STK-06, STK-07</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FR-001</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require a registered user to authenticate with a unique identifier and secret before any service requ...</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See requirements register</w:t>
            </w:r>
          </w:p>
        </w:tc>
        <w:tc>
          <w:tcPr>
            <w:tcW w:type="dxa" w:w="12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RSK-05</w:t>
            </w:r>
          </w:p>
        </w:tc>
        <w:tc>
          <w:tcPr>
            <w:tcW w:type="dxa" w:w="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M2</w:t>
            </w:r>
          </w:p>
        </w:tc>
        <w:tc>
          <w:tcPr>
            <w:tcW w:type="dxa" w:w="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M4</w:t>
            </w:r>
          </w:p>
        </w:tc>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TR-002</w:t>
            </w:r>
          </w:p>
        </w:tc>
        <w:tc>
          <w:tcPr>
            <w:tcW w:type="dxa" w:w="12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STK-03, STK-06</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FR-002</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enforce role-based access control for the roles Requester, Staff, Coordinator and Manager, with every...</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See requirements register</w:t>
            </w:r>
          </w:p>
        </w:tc>
        <w:tc>
          <w:tcPr>
            <w:tcW w:type="dxa" w:w="12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RSK-05, FEC-01</w:t>
            </w:r>
          </w:p>
        </w:tc>
        <w:tc>
          <w:tcPr>
            <w:tcW w:type="dxa" w:w="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M2</w:t>
            </w:r>
          </w:p>
        </w:tc>
        <w:tc>
          <w:tcPr>
            <w:tcW w:type="dxa" w:w="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M4</w:t>
            </w:r>
          </w:p>
        </w:tc>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TR-003</w:t>
            </w:r>
          </w:p>
        </w:tc>
        <w:tc>
          <w:tcPr>
            <w:tcW w:type="dxa" w:w="12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STK-05</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FR-003</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Manager to create a user account and assign exactly one role to it.</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See requirements register</w:t>
            </w:r>
          </w:p>
        </w:tc>
        <w:tc>
          <w:tcPr>
            <w:tcW w:type="dxa" w:w="12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w:t>
            </w:r>
          </w:p>
        </w:tc>
        <w:tc>
          <w:tcPr>
            <w:tcW w:type="dxa" w:w="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M2</w:t>
            </w:r>
          </w:p>
        </w:tc>
        <w:tc>
          <w:tcPr>
            <w:tcW w:type="dxa" w:w="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M4</w:t>
            </w:r>
          </w:p>
        </w:tc>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TR-004</w:t>
            </w:r>
          </w:p>
        </w:tc>
        <w:tc>
          <w:tcPr>
            <w:tcW w:type="dxa" w:w="12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FR-004</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user to reset a forgotten credential through a controlled process that does not disclose whet...</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See requirements register</w:t>
            </w:r>
          </w:p>
        </w:tc>
        <w:tc>
          <w:tcPr>
            <w:tcW w:type="dxa" w:w="12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RSK-05</w:t>
            </w:r>
          </w:p>
        </w:tc>
        <w:tc>
          <w:tcPr>
            <w:tcW w:type="dxa" w:w="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M2</w:t>
            </w:r>
          </w:p>
        </w:tc>
        <w:tc>
          <w:tcPr>
            <w:tcW w:type="dxa" w:w="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M4</w:t>
            </w:r>
          </w:p>
        </w:tc>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TR-005</w:t>
            </w:r>
          </w:p>
        </w:tc>
        <w:tc>
          <w:tcPr>
            <w:tcW w:type="dxa" w:w="12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FR-005</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Requester to submit a service request capturing title, description, category, location and re...</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See requirements register</w:t>
            </w:r>
          </w:p>
        </w:tc>
        <w:tc>
          <w:tcPr>
            <w:tcW w:type="dxa" w:w="12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w:t>
            </w:r>
          </w:p>
        </w:tc>
        <w:tc>
          <w:tcPr>
            <w:tcW w:type="dxa" w:w="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M2</w:t>
            </w:r>
          </w:p>
        </w:tc>
        <w:tc>
          <w:tcPr>
            <w:tcW w:type="dxa" w:w="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M4</w:t>
            </w:r>
          </w:p>
        </w:tc>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TR-006</w:t>
            </w:r>
          </w:p>
        </w:tc>
        <w:tc>
          <w:tcPr>
            <w:tcW w:type="dxa" w:w="12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STK-04, STK-05</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FR-006</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require the request category to be selected from a controlled list maintained by a Manager, and shall...</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See requirements register</w:t>
            </w:r>
          </w:p>
        </w:tc>
        <w:tc>
          <w:tcPr>
            <w:tcW w:type="dxa" w:w="12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FEC-02</w:t>
            </w:r>
          </w:p>
        </w:tc>
        <w:tc>
          <w:tcPr>
            <w:tcW w:type="dxa" w:w="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M2</w:t>
            </w:r>
          </w:p>
        </w:tc>
        <w:tc>
          <w:tcPr>
            <w:tcW w:type="dxa" w:w="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M4</w:t>
            </w:r>
          </w:p>
        </w:tc>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TR-007</w:t>
            </w:r>
          </w:p>
        </w:tc>
        <w:tc>
          <w:tcPr>
            <w:tcW w:type="dxa" w:w="12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FR-007</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validate mandatory fields and field formats before accepting a submission, and shall report each fail...</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See requirements register</w:t>
            </w:r>
          </w:p>
        </w:tc>
        <w:tc>
          <w:tcPr>
            <w:tcW w:type="dxa" w:w="12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w:t>
            </w:r>
          </w:p>
        </w:tc>
        <w:tc>
          <w:tcPr>
            <w:tcW w:type="dxa" w:w="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M2</w:t>
            </w:r>
          </w:p>
        </w:tc>
        <w:tc>
          <w:tcPr>
            <w:tcW w:type="dxa" w:w="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M4</w:t>
            </w:r>
          </w:p>
        </w:tc>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TR-008</w:t>
            </w:r>
          </w:p>
        </w:tc>
        <w:tc>
          <w:tcPr>
            <w:tcW w:type="dxa" w:w="12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 STK-03</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FR-008</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assign every accepted request a unique, human-readable reference that is never reused.</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See requirements register</w:t>
            </w:r>
          </w:p>
        </w:tc>
        <w:tc>
          <w:tcPr>
            <w:tcW w:type="dxa" w:w="12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w:t>
            </w:r>
          </w:p>
        </w:tc>
        <w:tc>
          <w:tcPr>
            <w:tcW w:type="dxa" w:w="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M2</w:t>
            </w:r>
          </w:p>
        </w:tc>
        <w:tc>
          <w:tcPr>
            <w:tcW w:type="dxa" w:w="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M4</w:t>
            </w:r>
          </w:p>
        </w:tc>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bl>
    <w:p>
      <w:pPr>
        <w:spacing w:after="200"/>
      </w:pPr>
    </w:p>
    <w:p>
      <w:pPr>
        <w:pStyle w:val="Heading2"/>
        <w:spacing w:after="95" w:before="230"/>
      </w:pPr>
      <w:r>
        <w:rPr>
          <w:rFonts w:ascii="Calibri" w:cs="Calibri" w:eastAsia="Calibri" w:hAnsi="Calibri"/>
          <w:b/>
          <w:bCs/>
          <w:color w:val="1F3B5C"/>
          <w:sz w:val="23"/>
          <w:szCs w:val="23"/>
        </w:rPr>
        <w:t xml:space="preserve">9.1  One requirement traced end to end on the evidence available today</w:t>
      </w:r>
    </w:p>
    <w:p>
      <w:pPr>
        <w:spacing w:after="120" w:before="0" w:line="264"/>
      </w:pPr>
      <w:r>
        <w:rPr>
          <w:rFonts w:ascii="Calibri" w:cs="Calibri" w:eastAsia="Calibri" w:hAnsi="Calibri"/>
          <w:color w:val="22303F"/>
          <w:sz w:val="20"/>
          <w:szCs w:val="20"/>
        </w:rPr>
        <w:t xml:space="preserve">The milestone brief asks for one requirement traced end to end for the evidence that currently exists. The trace below is deliberately shown with its future links empty rather than filled with intentions.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7000"/>
      </w:tblGrid>
      <w:tr>
        <w:trPr>
          <w:tblHeader/>
        </w:trPr>
        <w:tc>
          <w:tcPr>
            <w:tcW w:type="dxa" w:w="24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Link in the chain</w:t>
            </w:r>
          </w:p>
        </w:tc>
        <w:tc>
          <w:tcPr>
            <w:tcW w:type="dxa" w:w="70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Evidence today</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Stakeholder need</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STK-01, Requester: "know that my request was received, and what is happening to it now." Recorded in s5 with its conflict against STK-02.</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Business need</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Master Brief s2: requesters have limited visibility of whether a request was received, assigned, delayed, resolved or closed (Belgium Campus ITversity, 2026a).</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Requirement</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FR-011: the Requester may view the full detail and status history of their own request, showing only entries marked requester-visible. Priority Must. Source STK-01, STK-02.</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Acceptance criteria</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detail view shows the request fields, the ordered status history with timestamps, and only entries marked requester-visible. No internal entry appears in the response payload, not only in the rendered page.</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Decision it depends on</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DEC-003: visibility is chosen explicitly per action entry, with no default. Without that decision the requirement is not implementable as written.</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Constraint it engages</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CON-05 security, through least privilege and POPIA minimisation.</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Risk it mitigates</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RSK-05, disclosure of personal information to a user not entitled to see it. Exposure 15, High.</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Forward consideration</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FEC-01: the requester-visible split is a data-model property, so it constrains the M2 persistence design rather than the interface.</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Design evidence</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Not yet produced. Due M2, tracked as RTM row TR-011, column H.</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Issue and Pull Request</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Not yet produced. Due M3, RTM columns I and J.</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Test evidence</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Not yet produced. Due M3: the negative case asserting that no internal entry appears in the response payload is derived from the acceptance criterion above and from the access matrix in s8.3.</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Release and acceptance evidence</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Not yet produced. Due M4, RTM column L.</w:t>
            </w:r>
          </w:p>
        </w:tc>
      </w:tr>
    </w:tbl>
    <w:p>
      <w:pPr>
        <w:pageBreakBefore/>
      </w:pPr>
    </w:p>
    <w:p>
      <w:pPr>
        <w:sectPr>
          <w:headerReference w:type="default" r:id="rId17"/>
          <w:footerReference w:type="default" r:id="rId18"/>
          <w:pgSz w:w="11906" w:h="16838" w:orient="portrait"/>
          <w:pgMar w:top="1134" w:right="1247" w:bottom="1000" w:left="1247" w:header="708" w:footer="708" w:gutter="0"/>
          <w:pgNumType/>
          <w:docGrid w:linePitch="360"/>
        </w:sectPr>
      </w:pPr>
    </w:p>
    <w:p>
      <w:pPr>
        <w:pStyle w:val="Heading1"/>
        <w:pBdr>
          <w:bottom w:val="single" w:color="1F3B5C" w:sz="8" w:space="4"/>
        </w:pBdr>
        <w:spacing w:after="130" w:before="300"/>
      </w:pPr>
      <w:r>
        <w:rPr>
          <w:rFonts w:ascii="Calibri" w:cs="Calibri" w:eastAsia="Calibri" w:hAnsi="Calibri"/>
          <w:b/>
          <w:bCs/>
          <w:color w:val="1F3B5C"/>
          <w:sz w:val="28"/>
          <w:szCs w:val="28"/>
        </w:rPr>
        <w:t xml:space="preserve">10.  Risk Register</w:t>
      </w:r>
    </w:p>
    <w:p>
      <w:pPr>
        <w:spacing w:after="120" w:before="0" w:line="264"/>
      </w:pPr>
      <w:r>
        <w:rPr>
          <w:rFonts w:ascii="Calibri" w:cs="Calibri" w:eastAsia="Calibri" w:hAnsi="Calibri"/>
          <w:color w:val="22303F"/>
          <w:sz w:val="19"/>
          <w:szCs w:val="19"/>
        </w:rPr>
        <w:t xml:space="preserve">Risks are scored on probability and impact from 1 to 5. Exposure is the product, and the band is Critical at 20 or above, High from 12 to 19, Medium from 6 to 11 and Low below 6. Scores are the current assessment with the mitigations described in progress, not an inherent rating. The register is live: it is reviewed at every milestone and updated when a risk materialises into an issue (Master Brief, s12).</w:t>
      </w:r>
    </w:p>
    <w:tbl>
      <w:tblPr>
        <w:tblW w:type="dxa" w:w="14850"/>
        <w:tblBorders>
          <w:top w:val="single" w:color="auto" w:sz="4"/>
          <w:left w:val="single" w:color="auto" w:sz="4"/>
          <w:bottom w:val="single" w:color="auto" w:sz="4"/>
          <w:right w:val="single" w:color="auto" w:sz="4"/>
          <w:insideH w:val="single" w:color="auto" w:sz="4"/>
          <w:insideV w:val="single" w:color="auto" w:sz="4"/>
        </w:tblBorders>
      </w:tblPr>
      <w:tblGrid>
        <w:gridCol w:w="750"/>
        <w:gridCol w:w="2500"/>
        <w:gridCol w:w="2500"/>
        <w:gridCol w:w="450"/>
        <w:gridCol w:w="450"/>
        <w:gridCol w:w="500"/>
        <w:gridCol w:w="750"/>
        <w:gridCol w:w="3000"/>
        <w:gridCol w:w="2450"/>
        <w:gridCol w:w="800"/>
        <w:gridCol w:w="700"/>
      </w:tblGrid>
      <w:tr>
        <w:trPr>
          <w:tblHeader/>
        </w:trPr>
        <w:tc>
          <w:tcPr>
            <w:tcW w:type="dxa" w:w="7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ID</w:t>
            </w:r>
          </w:p>
        </w:tc>
        <w:tc>
          <w:tcPr>
            <w:tcW w:type="dxa" w:w="25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Risk</w:t>
            </w:r>
          </w:p>
        </w:tc>
        <w:tc>
          <w:tcPr>
            <w:tcW w:type="dxa" w:w="25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Cause</w:t>
            </w:r>
          </w:p>
        </w:tc>
        <w:tc>
          <w:tcPr>
            <w:tcW w:type="dxa" w:w="4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P</w:t>
            </w:r>
          </w:p>
        </w:tc>
        <w:tc>
          <w:tcPr>
            <w:tcW w:type="dxa" w:w="4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I</w:t>
            </w:r>
          </w:p>
        </w:tc>
        <w:tc>
          <w:tcPr>
            <w:tcW w:type="dxa" w:w="5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Exp</w:t>
            </w:r>
          </w:p>
        </w:tc>
        <w:tc>
          <w:tcPr>
            <w:tcW w:type="dxa" w:w="7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Band</w:t>
            </w:r>
          </w:p>
        </w:tc>
        <w:tc>
          <w:tcPr>
            <w:tcW w:type="dxa" w:w="30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Mitigation</w:t>
            </w:r>
          </w:p>
        </w:tc>
        <w:tc>
          <w:tcPr>
            <w:tcW w:type="dxa" w:w="24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Contingency</w:t>
            </w:r>
          </w:p>
        </w:tc>
        <w:tc>
          <w:tcPr>
            <w:tcW w:type="dxa" w:w="8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Owner</w:t>
            </w:r>
          </w:p>
        </w:tc>
        <w:tc>
          <w:tcPr>
            <w:tcW w:type="dxa" w:w="7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Status</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RSK-01</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team does not reach working competence in the selected stack early enough to build the committed scope, and construction time is consumed by learning.</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Technology selection is deferred to M2 (DEC-008) and the team has limited prior exposure to controlled team engineering at this scale (CON-06).</w:t>
            </w:r>
          </w:p>
        </w:tc>
        <w:tc>
          <w:tcPr>
            <w:tcW w:type="dxa" w:w="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5</w:t>
            </w:r>
          </w:p>
        </w:tc>
        <w:tc>
          <w:tcPr>
            <w:tcW w:type="dxa" w:w="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20</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Critical</w:t>
            </w:r>
          </w:p>
        </w:tc>
        <w:tc>
          <w:tcPr>
            <w:tcW w:type="dxa" w:w="3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Make team capability an explicitly weighted criterion in the M2 technology decision. Run a timeboxed proof of concept covering authentication, one persisted entity and one automated test before committing. Prefer a stack in which at least two of three members have prior exposure.</w:t>
            </w:r>
          </w:p>
        </w:tc>
        <w:tc>
          <w:tcPr>
            <w:tcW w:type="dxa" w:w="2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Reduce committed scope to Must-priority requirements only, through a controlled change request, and record the trade-off rather than absorbing it silently.</w:t>
            </w:r>
          </w:p>
        </w:tc>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[Member 1]</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RSK-03</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formal client change request scheduled for M3 arrives against an unchanged deadline and destabilises the baseline.</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Master Brief s20.3 states that M3 includes a formal lecturer or client change request and impact analysis. This is a certainty, not a possibility.</w:t>
            </w:r>
          </w:p>
        </w:tc>
        <w:tc>
          <w:tcPr>
            <w:tcW w:type="dxa" w:w="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5</w:t>
            </w:r>
          </w:p>
        </w:tc>
        <w:tc>
          <w:tcPr>
            <w:tcW w:type="dxa" w:w="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20</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Critical</w:t>
            </w:r>
          </w:p>
        </w:tc>
        <w:tc>
          <w:tcPr>
            <w:tcW w:type="dxa" w:w="3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Treat the change as planned work. Keep the RTM complete so impact analysis is a lookup rather than an investigation. Hold the Appendix E impact template ready. Keep Should and Could priority items as the intended absorption buffer so that a change displaces deferred work rather than Must-priority work.</w:t>
            </w:r>
          </w:p>
        </w:tc>
        <w:tc>
          <w:tcPr>
            <w:tcW w:type="dxa" w:w="2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Apply the change control process in Master Brief s14, record scope displacement explicitly, and seek approval for the resulting scope change rather than compressing verification.</w:t>
            </w:r>
          </w:p>
        </w:tc>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[Member 3]</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RSK-05</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Personal information held in service requests is disclosed to a user who is not entitled to see it.</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Requests contain requester identity, contact detail and free-text description that may include sensitive circumstances. Record-level isolation (FR-012) and internal note separation (FR-011) are data-model properties, not interface behaviour.</w:t>
            </w:r>
          </w:p>
        </w:tc>
        <w:tc>
          <w:tcPr>
            <w:tcW w:type="dxa" w:w="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3</w:t>
            </w:r>
          </w:p>
        </w:tc>
        <w:tc>
          <w:tcPr>
            <w:tcW w:type="dxa" w:w="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5</w:t>
            </w:r>
          </w:p>
        </w:tc>
        <w:tc>
          <w:tcPr>
            <w:tcW w:type="dxa" w:w="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15</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High</w:t>
            </w:r>
          </w:p>
        </w:tc>
        <w:tc>
          <w:tcPr>
            <w:tcW w:type="dxa" w:w="3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Enforce authorisation server-side for every function (NFR-005). Derive negative tests directly from the access matrix. Treat record-level scope as an M2 data design input (FEC-01). Minimise stored personal information (NFR-008).</w:t>
            </w:r>
          </w:p>
        </w:tc>
        <w:tc>
          <w:tcPr>
            <w:tcW w:type="dxa" w:w="2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Contain by revoking the affected access, record the incident, assess notification obligations under POPIA, and raise a defect with the highest severity.</w:t>
            </w:r>
          </w:p>
        </w:tc>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[Member 2]</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RSK-08</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Repository history does not show authentic progressive engineering, and controlled evidence is discounted despite the software working.</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Documentation work feels separable from the repository, so artefacts accumulate locally and are pushed in bulk near a deadline. Master Brief s23 states that reconstructed evidence may receive limited or no credit.</w:t>
            </w:r>
          </w:p>
        </w:tc>
        <w:tc>
          <w:tcPr>
            <w:tcW w:type="dxa" w:w="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3</w:t>
            </w:r>
          </w:p>
        </w:tc>
        <w:tc>
          <w:tcPr>
            <w:tcW w:type="dxa" w:w="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5</w:t>
            </w:r>
          </w:p>
        </w:tc>
        <w:tc>
          <w:tcPr>
            <w:tcW w:type="dxa" w:w="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15</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High</w:t>
            </w:r>
          </w:p>
        </w:tc>
        <w:tc>
          <w:tcPr>
            <w:tcW w:type="dxa" w:w="3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Place the PED and every register in the repository from the first week of M1 and change them through Pull Requests like code. Link commits to issues. Review the commit and Pull Request history as a team at each weekly checkpoint.</w:t>
            </w:r>
          </w:p>
        </w:tc>
        <w:tc>
          <w:tcPr>
            <w:tcW w:type="dxa" w:w="2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None available after the fact. This risk cannot be mitigated retrospectively, which is why its mitigation is entirely preventive.</w:t>
            </w:r>
          </w:p>
        </w:tc>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[Member 2]</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RSK-11</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 credential, key or token is committed to the repository.</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Configuration is needed to run locally, and the fastest way to share it between three developers is to commit it.</w:t>
            </w:r>
          </w:p>
        </w:tc>
        <w:tc>
          <w:tcPr>
            <w:tcW w:type="dxa" w:w="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3</w:t>
            </w:r>
          </w:p>
        </w:tc>
        <w:tc>
          <w:tcPr>
            <w:tcW w:type="dxa" w:w="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5</w:t>
            </w:r>
          </w:p>
        </w:tc>
        <w:tc>
          <w:tcPr>
            <w:tcW w:type="dxa" w:w="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15</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High</w:t>
            </w:r>
          </w:p>
        </w:tc>
        <w:tc>
          <w:tcPr>
            <w:tcW w:type="dxa" w:w="3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Agree the configuration and secrets approach in the Team Working Agreement before construction. Add ignore rules and secret scanning to the repository at setup, not at M3 (NFR-007).</w:t>
            </w:r>
          </w:p>
        </w:tc>
        <w:tc>
          <w:tcPr>
            <w:tcW w:type="dxa" w:w="2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Treat the secret as compromised: rotate it, and record that history rewriting does not undo exposure.</w:t>
            </w:r>
          </w:p>
        </w:tc>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[Member 1]</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RSK-02</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chosen platform's free tier proves unable to meet the availability or background-processing needs, or its terms change during the project.</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Cost constraint CON-03 pushes the team to free tiers, whose idle behaviour, quotas and continuity are outside the team's control. Institutional platform support is not guaranteed (CON-07).</w:t>
            </w:r>
          </w:p>
        </w:tc>
        <w:tc>
          <w:tcPr>
            <w:tcW w:type="dxa" w:w="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3</w:t>
            </w:r>
          </w:p>
        </w:tc>
        <w:tc>
          <w:tcPr>
            <w:tcW w:type="dxa" w:w="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12</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High</w:t>
            </w:r>
          </w:p>
        </w:tc>
        <w:tc>
          <w:tcPr>
            <w:tcW w:type="dxa" w:w="3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Record platform limits as explicit criteria in DEC-010 before committing. Verify cold-start and idle behaviour against NFR-003 during M2. Keep the deployment target portable by avoiding platform-specific services in the baseline.</w:t>
            </w:r>
          </w:p>
        </w:tc>
        <w:tc>
          <w:tcPr>
            <w:tcW w:type="dxa" w:w="2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Fall back to a second shortlisted platform identified in M2; if unavailable, revise NFR-003 through change control and record the residual risk rather than restating the target.</w:t>
            </w:r>
          </w:p>
        </w:tc>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[Member 2]</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RSK-04</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Controlled change stalls because the mandatory two-approval rule cannot be satisfied when a member is unavailable.</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CON-08 requires two approvals from members other than the author. With exactly three members, every merge requires both remaining members, so one absence blocks all controlled change.</w:t>
            </w:r>
          </w:p>
        </w:tc>
        <w:tc>
          <w:tcPr>
            <w:tcW w:type="dxa" w:w="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3</w:t>
            </w:r>
          </w:p>
        </w:tc>
        <w:tc>
          <w:tcPr>
            <w:tcW w:type="dxa" w:w="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12</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High</w:t>
            </w:r>
          </w:p>
        </w:tc>
        <w:tc>
          <w:tcPr>
            <w:tcW w:type="dxa" w:w="3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Agree a 24-hour review turnaround in the Team Working Agreement. Keep Pull Requests small and single-purpose so review is quick. Schedule two fixed review windows per week that all three members hold open.</w:t>
            </w:r>
          </w:p>
        </w:tc>
        <w:tc>
          <w:tcPr>
            <w:tcW w:type="dxa" w:w="2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Where an absence is known in advance, front-load merges before it. Where it is unplanned, record the blockage and its schedule effect rather than bypassing the control or rubber-stamping, which may receive no credit (Master Brief, s9).</w:t>
            </w:r>
          </w:p>
        </w:tc>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[Member 1]</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RSK-06</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Committed scope grows without control and the team delivers a larger unfinished system instead of a smaller complete one.</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Additional features are permitted where justified (Master Brief, s3.1), and the visible reward for adding a feature is more immediate than the cost of specifying, securing, testing, documenting and maintaining it.</w:t>
            </w:r>
          </w:p>
        </w:tc>
        <w:tc>
          <w:tcPr>
            <w:tcW w:type="dxa" w:w="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3</w:t>
            </w:r>
          </w:p>
        </w:tc>
        <w:tc>
          <w:tcPr>
            <w:tcW w:type="dxa" w:w="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12</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High</w:t>
            </w:r>
          </w:p>
        </w:tc>
        <w:tc>
          <w:tcPr>
            <w:tcW w:type="dxa" w:w="3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 scope at PED v1.0 with an explicit deferred list (s6.3) so that a new idea has a recorded home other than the current sprint. Require any addition to enter through change control with an impact analysis.</w:t>
            </w:r>
          </w:p>
        </w:tc>
        <w:tc>
          <w:tcPr>
            <w:tcW w:type="dxa" w:w="2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Where uncontrolled work is discovered, stop it, assess it through Appendix E, and either approve it with an explicit displacement or return it to the deferred list.</w:t>
            </w:r>
          </w:p>
        </w:tc>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[Member 3]</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RSK-13</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behaves correctly in development but fails in staging or production because the environments differ.</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Environment parity is not free, and free-tier hosting differs from a developer machine in runtime version, filesystem persistence, cold starts and network egress (Master Brief, s17).</w:t>
            </w:r>
          </w:p>
        </w:tc>
        <w:tc>
          <w:tcPr>
            <w:tcW w:type="dxa" w:w="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3</w:t>
            </w:r>
          </w:p>
        </w:tc>
        <w:tc>
          <w:tcPr>
            <w:tcW w:type="dxa" w:w="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12</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High</w:t>
            </w:r>
          </w:p>
        </w:tc>
        <w:tc>
          <w:tcPr>
            <w:tcW w:type="dxa" w:w="3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Record parity as a forward consideration now (FEC-05) so it becomes an explicit M2 platform criterion. Keep environment-specific values in configuration rather than code from the first commit.</w:t>
            </w:r>
          </w:p>
        </w:tc>
        <w:tc>
          <w:tcPr>
            <w:tcW w:type="dxa" w:w="2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Roll back to the previous release, reproduce the difference in staging, and record the parity gap as a known limitation.</w:t>
            </w:r>
          </w:p>
        </w:tc>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[Member 2]</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RSK-14</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AI-assisted output is accepted into a controlled artefact without adequate verification, producing a defect or an artefact no member can defend.</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AI is permitted throughout the project (Master Brief, s10), and reviewing generated work is slower and less rewarding than accepting it. The statement that AI generated it is never an acceptable engineering defence.</w:t>
            </w:r>
          </w:p>
        </w:tc>
        <w:tc>
          <w:tcPr>
            <w:tcW w:type="dxa" w:w="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3</w:t>
            </w:r>
          </w:p>
        </w:tc>
        <w:tc>
          <w:tcPr>
            <w:tcW w:type="dxa" w:w="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12</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High</w:t>
            </w:r>
          </w:p>
        </w:tc>
        <w:tc>
          <w:tcPr>
            <w:tcW w:type="dxa" w:w="3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Record material AI contributions in the AI Usage Register at the time, not retrospectively. Apply the rule that no member may approve AI-assisted work they cannot explain without the assistant. Subject AI-generated work to the same branch, review and test controls as any other change.</w:t>
            </w:r>
          </w:p>
        </w:tc>
        <w:tc>
          <w:tcPr>
            <w:tcW w:type="dxa" w:w="2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Revert the artefact to its last verified state and re-derive it. Where an artefact cannot be explained by any member, remove it from the baseline.</w:t>
            </w:r>
          </w:p>
        </w:tc>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[Member 1]</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RSK-07</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 registered member becomes unavailable and the team loses both delivery capacity and that member's contribution evidence.</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Illness or other exceptional circumstance, against a fixed milestone calendar and an individually assessed presentation requirement (Master Brief, s25).</w:t>
            </w:r>
          </w:p>
        </w:tc>
        <w:tc>
          <w:tcPr>
            <w:tcW w:type="dxa" w:w="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2</w:t>
            </w:r>
          </w:p>
        </w:tc>
        <w:tc>
          <w:tcPr>
            <w:tcW w:type="dxa" w:w="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8</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Medium</w:t>
            </w:r>
          </w:p>
        </w:tc>
        <w:tc>
          <w:tcPr>
            <w:tcW w:type="dxa" w:w="3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Rotate authorship so that no artefact has a single owner. Require all three members to review across the whole artefact set, not only their own area. Keep the PED and registers current so any member can present any artefact.</w:t>
            </w:r>
          </w:p>
        </w:tc>
        <w:tc>
          <w:tcPr>
            <w:tcW w:type="dxa" w:w="2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Follow the institutional process for an approved later presentation date. Redistribute committed work through the change process and record the schedule effect.</w:t>
            </w:r>
          </w:p>
        </w:tc>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[Member 1]</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RSK-09</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request status model proves ambiguous or incomplete after data exists, and management reporting becomes unreliable.</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Reporting in FR-022 to FR-024 derives entirely from status and timestamps. A state added or redefined after go-live cannot be applied retrospectively to historical records.</w:t>
            </w:r>
          </w:p>
        </w:tc>
        <w:tc>
          <w:tcPr>
            <w:tcW w:type="dxa" w:w="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2</w:t>
            </w:r>
          </w:p>
        </w:tc>
        <w:tc>
          <w:tcPr>
            <w:tcW w:type="dxa" w:w="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8</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Medium</w:t>
            </w:r>
          </w:p>
        </w:tc>
        <w:tc>
          <w:tcPr>
            <w:tcW w:type="dxa" w:w="3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Agree and baseline the status model now (Figure 2) with every transition and its authorised role enumerated. Define overdue against a single organisation-wide target (SC-D-03). Test every non-permitted transition as well as every permitted one (FR-016).</w:t>
            </w:r>
          </w:p>
        </w:tc>
        <w:tc>
          <w:tcPr>
            <w:tcW w:type="dxa" w:w="2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Treat a model change as a controlled change with an explicit data-migration and reporting-continuity analysis under Appendix E.</w:t>
            </w:r>
          </w:p>
        </w:tc>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[Member 3]</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RSK-10</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Real personal information is copied into a development, test or staging environment.</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Realistic data is convenient for testing reporting and queue behaviour, and staging is intended to resemble production (Master Brief, s17).</w:t>
            </w:r>
          </w:p>
        </w:tc>
        <w:tc>
          <w:tcPr>
            <w:tcW w:type="dxa" w:w="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2</w:t>
            </w:r>
          </w:p>
        </w:tc>
        <w:tc>
          <w:tcPr>
            <w:tcW w:type="dxa" w:w="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8</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Medium</w:t>
            </w:r>
          </w:p>
        </w:tc>
        <w:tc>
          <w:tcPr>
            <w:tcW w:type="dxa" w:w="3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Commit now to generated test data only. Build the seeding approach as a project artefact in M2 so the convenient path and the correct path are the same one (FEC-04).</w:t>
            </w:r>
          </w:p>
        </w:tc>
        <w:tc>
          <w:tcPr>
            <w:tcW w:type="dxa" w:w="2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Purge the affected environment, rotate any exposed credential, and record the event and its POPIA implications.</w:t>
            </w:r>
          </w:p>
        </w:tc>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[Member 2]</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RSK-12</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 third-party dependency introduces a vulnerability or malicious code into the build.</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baseline will rest on an ecosystem of transitive dependencies chosen in M2. OWASP raised software supply chain failures to A03 in 2025 (OWASP, 2025), and Sonatype recorded over 454 600 new malicious open-source packages during 2025 (Sonatype, 2026).</w:t>
            </w:r>
          </w:p>
        </w:tc>
        <w:tc>
          <w:tcPr>
            <w:tcW w:type="dxa" w:w="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2</w:t>
            </w:r>
          </w:p>
        </w:tc>
        <w:tc>
          <w:tcPr>
            <w:tcW w:type="dxa" w:w="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8</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Medium</w:t>
            </w:r>
          </w:p>
        </w:tc>
        <w:tc>
          <w:tcPr>
            <w:tcW w:type="dxa" w:w="3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Make dependency-ecosystem maturity a criterion in DEC-008. Adopt lockfiles and automated dependency and vulnerability checking from the first construction Pull Request. Require any new dependency to be justified in the Pull Request that introduces it.</w:t>
            </w:r>
          </w:p>
        </w:tc>
        <w:tc>
          <w:tcPr>
            <w:tcW w:type="dxa" w:w="2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Remove or replace the affected component, assess exposure, and record the residual risk rather than claiming the system is clean.</w:t>
            </w:r>
          </w:p>
        </w:tc>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[Member 3]</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bl>
    <w:p>
      <w:pPr>
        <w:sectPr>
          <w:headerReference w:type="default" r:id="rId19"/>
          <w:footerReference w:type="default" r:id="rId20"/>
          <w:pgSz w:w="16838" w:h="11906" w:orient="landscape"/>
          <w:pgMar w:top="1000" w:right="1100" w:bottom="900" w:left="1100" w:header="708" w:footer="708" w:gutter="0"/>
          <w:pgNumType/>
          <w:docGrid w:linePitch="360"/>
        </w:sectPr>
      </w:pPr>
    </w:p>
    <w:p>
      <w:pPr>
        <w:pStyle w:val="Heading2"/>
        <w:spacing w:after="95" w:before="230"/>
      </w:pPr>
      <w:r>
        <w:rPr>
          <w:rFonts w:ascii="Calibri" w:cs="Calibri" w:eastAsia="Calibri" w:hAnsi="Calibri"/>
          <w:b/>
          <w:bCs/>
          <w:color w:val="1F3B5C"/>
          <w:sz w:val="23"/>
          <w:szCs w:val="23"/>
        </w:rPr>
        <w:t xml:space="preserve">10.1  The risk that deserves the most attention now</w:t>
      </w:r>
    </w:p>
    <w:p>
      <w:pPr>
        <w:spacing w:after="120" w:before="0" w:line="264"/>
      </w:pPr>
      <w:r>
        <w:rPr>
          <w:rFonts w:ascii="Calibri" w:cs="Calibri" w:eastAsia="Calibri" w:hAnsi="Calibri"/>
          <w:color w:val="22303F"/>
          <w:sz w:val="21"/>
          <w:szCs w:val="21"/>
        </w:rPr>
        <w:t xml:space="preserve">Two risks share the highest exposure of 20. </w:t>
      </w:r>
      <w:r>
        <w:rPr>
          <w:rFonts w:ascii="Calibri" w:cs="Calibri" w:eastAsia="Calibri" w:hAnsi="Calibri"/>
          <w:b/>
          <w:bCs/>
          <w:color w:val="22303F"/>
          <w:sz w:val="21"/>
          <w:szCs w:val="21"/>
        </w:rPr>
        <w:t xml:space="preserve">Team judgement: RSK-03 deserves the most attention now</w:t>
      </w:r>
      <w:r>
        <w:rPr>
          <w:rFonts w:ascii="Calibri" w:cs="Calibri" w:eastAsia="Calibri" w:hAnsi="Calibri"/>
          <w:color w:val="22303F"/>
          <w:sz w:val="21"/>
          <w:szCs w:val="21"/>
        </w:rPr>
        <w:t xml:space="preserve">, and the reason is not its score.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800"/>
      </w:tblGrid>
      <w:tr>
        <w:trPr>
          <w:tblHeader/>
        </w:trPr>
        <w:tc>
          <w:tcPr>
            <w:tcW w:type="dxa" w:w="1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p>
        </w:tc>
        <w:tc>
          <w:tcPr>
            <w:tcW w:type="dxa" w:w="37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RSK-01 - team capability against the schedule</w:t>
            </w:r>
          </w:p>
        </w:tc>
        <w:tc>
          <w:tcPr>
            <w:tcW w:type="dxa" w:w="38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RSK-03 - the M3 change request against a fixed deadline</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Probability</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4 - likely, but genuinely uncertain</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5 - certain. Master Brief s20.3 states that M3 includes a formal client change request and impact analysis. It is a scheduled event, not a possibility.</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Impact</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5</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4</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Can it be acted on now?</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Partly. The main mitigation is a proof of concept, which cannot happen until the M2 technology decision is at least shortlisted.</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Almost entirely. Every mitigation is available in M1: a complete RTM, the impact template prepared, and a designated absorption buffer.</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What acting now buys</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 better-informed decision in M2.</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difference between impact analysis as a lookup and impact analysis as an investigation, at the point in the project where the team has least spare time.</w:t>
            </w:r>
          </w:p>
        </w:tc>
      </w:tr>
    </w:tbl>
    <w:p>
      <w:pPr>
        <w:spacing w:after="160"/>
      </w:pPr>
    </w:p>
    <w:p>
      <w:pPr>
        <w:spacing w:after="120" w:before="0" w:line="264"/>
      </w:pPr>
      <w:r>
        <w:rPr>
          <w:rFonts w:ascii="Calibri" w:cs="Calibri" w:eastAsia="Calibri" w:hAnsi="Calibri"/>
          <w:b/>
          <w:bCs/>
          <w:color w:val="22303F"/>
          <w:sz w:val="21"/>
          <w:szCs w:val="21"/>
        </w:rPr>
        <w:t xml:space="preserve">The argument.</w:t>
      </w:r>
      <w:r>
        <w:rPr>
          <w:rFonts w:ascii="Calibri" w:cs="Calibri" w:eastAsia="Calibri" w:hAnsi="Calibri"/>
          <w:color w:val="22303F"/>
          <w:sz w:val="21"/>
          <w:szCs w:val="21"/>
        </w:rPr>
        <w:t xml:space="preserve"> A risk register is a list of things that might happen. RSK-03 is not one of them: the brief states it will happen. Treating a certainty as a risk is a category error, and the correct engineering response is to convert it into planned work rather than to monitor it.</w:t>
      </w:r>
    </w:p>
    <w:p>
      <w:pPr>
        <w:spacing w:after="120" w:before="0" w:line="264"/>
      </w:pPr>
      <w:r>
        <w:rPr>
          <w:rFonts w:ascii="Calibri" w:cs="Calibri" w:eastAsia="Calibri" w:hAnsi="Calibri"/>
          <w:color w:val="22303F"/>
          <w:sz w:val="21"/>
          <w:szCs w:val="21"/>
        </w:rPr>
        <w:t xml:space="preserve">That conversion is what most of this baseline is for. The RTM exists in complete form at M1 so that "which requirements does this change affect" is answered by reading a column rather than by re-deriving the analysis. MoSCoW priorities exist so that a change has a designated place to take capacity from: the Should and Could set absorbs it, and Must-priority scope is protected. The Appendix E impact template is prepared before it is needed. The alternative - discovering in M3 that impact analysis requires reconstructing traceability the team never built - costs exactly the time the team will not have.</w:t>
      </w:r>
    </w:p>
    <w:p>
      <w:pPr>
        <w:spacing w:after="120" w:before="0" w:line="264"/>
      </w:pPr>
      <w:r>
        <w:rPr>
          <w:rFonts w:ascii="Calibri" w:cs="Calibri" w:eastAsia="Calibri" w:hAnsi="Calibri"/>
          <w:b/>
          <w:bCs/>
          <w:color w:val="22303F"/>
          <w:sz w:val="21"/>
          <w:szCs w:val="21"/>
        </w:rPr>
        <w:t xml:space="preserve">RSK-01 is not being neglected.</w:t>
      </w:r>
      <w:r>
        <w:rPr>
          <w:rFonts w:ascii="Calibri" w:cs="Calibri" w:eastAsia="Calibri" w:hAnsi="Calibri"/>
          <w:color w:val="22303F"/>
          <w:sz w:val="21"/>
          <w:szCs w:val="21"/>
        </w:rPr>
        <w:t xml:space="preserve"> It carries the same exposure and a higher impact, and it has an owner and a contingency. The distinction is that its useful mitigation window opens in M2, whereas RSK-03's closes at the end of M1. Sequencing attention by when a mitigation is actually available, rather than by score alone, is the judgement being made here.</w:t>
      </w:r>
    </w:p>
    <w:p>
      <w:pPr>
        <w:pageBreakBefore/>
      </w:pPr>
    </w:p>
    <w:p>
      <w:pPr>
        <w:sectPr>
          <w:headerReference w:type="default" r:id="rId21"/>
          <w:footerReference w:type="default" r:id="rId22"/>
          <w:pgSz w:w="11906" w:h="16838" w:orient="portrait"/>
          <w:pgMar w:top="1134" w:right="1247" w:bottom="1000" w:left="1247" w:header="708" w:footer="708" w:gutter="0"/>
          <w:pgNumType/>
          <w:docGrid w:linePitch="360"/>
        </w:sectPr>
      </w:pPr>
    </w:p>
    <w:p>
      <w:pPr>
        <w:pStyle w:val="Heading1"/>
        <w:pBdr>
          <w:bottom w:val="single" w:color="1F3B5C" w:sz="8" w:space="4"/>
        </w:pBdr>
        <w:spacing w:after="130" w:before="300"/>
      </w:pPr>
      <w:r>
        <w:rPr>
          <w:rFonts w:ascii="Calibri" w:cs="Calibri" w:eastAsia="Calibri" w:hAnsi="Calibri"/>
          <w:b/>
          <w:bCs/>
          <w:color w:val="1F3B5C"/>
          <w:sz w:val="28"/>
          <w:szCs w:val="28"/>
        </w:rPr>
        <w:t xml:space="preserve">11.  Forward Engineering Considerations</w:t>
      </w:r>
    </w:p>
    <w:p>
      <w:pPr>
        <w:spacing w:after="120" w:before="0" w:line="264"/>
      </w:pPr>
      <w:r>
        <w:rPr>
          <w:rFonts w:ascii="Calibri" w:cs="Calibri" w:eastAsia="Calibri" w:hAnsi="Calibri"/>
          <w:color w:val="22303F"/>
          <w:sz w:val="19"/>
          <w:szCs w:val="19"/>
        </w:rPr>
        <w:t xml:space="preserve">These are the later-lifecycle concerns that already influence the M1 baseline. They are recorded, not decided. Assignment 1 research is deliberately not reused here: each concern below is derived from a specific CivicConnect requirement, constraint or control, and is stated with the actual information the team is missing (M1 brief, s4).</w:t>
      </w:r>
    </w:p>
    <w:tbl>
      <w:tblPr>
        <w:tblW w:type="dxa" w:w="14600"/>
        <w:tblBorders>
          <w:top w:val="single" w:color="auto" w:sz="4"/>
          <w:left w:val="single" w:color="auto" w:sz="4"/>
          <w:bottom w:val="single" w:color="auto" w:sz="4"/>
          <w:right w:val="single" w:color="auto" w:sz="4"/>
          <w:insideH w:val="single" w:color="auto" w:sz="4"/>
          <w:insideV w:val="single" w:color="auto" w:sz="4"/>
        </w:tblBorders>
      </w:tblPr>
      <w:tblGrid>
        <w:gridCol w:w="750"/>
        <w:gridCol w:w="2100"/>
        <w:gridCol w:w="3500"/>
        <w:gridCol w:w="2600"/>
        <w:gridCol w:w="2500"/>
        <w:gridCol w:w="3150"/>
      </w:tblGrid>
      <w:tr>
        <w:trPr>
          <w:tblHeader/>
        </w:trPr>
        <w:tc>
          <w:tcPr>
            <w:tcW w:type="dxa" w:w="7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ID</w:t>
            </w:r>
          </w:p>
        </w:tc>
        <w:tc>
          <w:tcPr>
            <w:tcW w:type="dxa" w:w="2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Concern</w:t>
            </w:r>
          </w:p>
        </w:tc>
        <w:tc>
          <w:tcPr>
            <w:tcW w:type="dxa" w:w="35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Why it matters now</w:t>
            </w:r>
          </w:p>
        </w:tc>
        <w:tc>
          <w:tcPr>
            <w:tcW w:type="dxa" w:w="26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Later decision or activity influenced</w:t>
            </w:r>
          </w:p>
        </w:tc>
        <w:tc>
          <w:tcPr>
            <w:tcW w:type="dxa" w:w="25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Information still missing</w:t>
            </w:r>
          </w:p>
        </w:tc>
        <w:tc>
          <w:tcPr>
            <w:tcW w:type="dxa" w:w="31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Risk of ignoring it</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FEC-01</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Authorisation depth and record-level data scope</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baseline already commits to per-Requester record isolation (FR-012), category-scoped Staff queues (FR-013) and internal versus requester-visible entries (FR-011). Each of these is a property of how data is shaped and queried, not a screen behaviour.</w:t>
            </w:r>
          </w:p>
        </w:tc>
        <w:tc>
          <w:tcPr>
            <w:tcW w:type="dxa" w:w="26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M2 data and architecture design; the M3 negative-test matrix derived from the access matrix.</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Whether Staff scope is ultimately by category, by site, or global; whether SC-D-05 multi-site separation will ever be required.</w:t>
            </w:r>
          </w:p>
        </w:tc>
        <w:tc>
          <w:tcPr>
            <w:tcW w:type="dxa" w:w="3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Record-level authorisation added after the data model is fixed touches every query and every test, and tends to be implemented in the interface layer where it can be bypassed.</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FEC-02</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Request status model stability and the definition of overdue</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Every management figure in FR-022 to FR-024 is derived from status and timestamps. The model is being baselined now (Figure 2) precisely because it cannot be revised cheaply once requests exist.</w:t>
            </w:r>
          </w:p>
        </w:tc>
        <w:tc>
          <w:tcPr>
            <w:tcW w:type="dxa" w:w="26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M2 persistence design and reporting approach; M3 transition testing; M4 evaluation of whether reporting is trustworthy.</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organisation's actual response target, and whether different categories genuinely need different targets (SC-D-03).</w:t>
            </w:r>
          </w:p>
        </w:tc>
        <w:tc>
          <w:tcPr>
            <w:tcW w:type="dxa" w:w="3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 state added or redefined after go-live cannot be applied to historical records, so the reporting the platform exists to provide becomes unreliable at exactly the point it is first used.</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FEC-03</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Background processing capability of the deployment platform</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Notification beyond the in-application indication is deferred (SC-D-01), but reinstating it needs a scheduled job or always-on worker. Free tiers frequently restrict exactly that, so the M2 platform choice can close the option permanently without anyone noticing.</w:t>
            </w:r>
          </w:p>
        </w:tc>
        <w:tc>
          <w:tcPr>
            <w:tcW w:type="dxa" w:w="26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M2 deployment platform decision (DEC-010); any future change request that reintroduces email or SMS notification.</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background-process, scheduled-job and idle-timeout limits of each candidate platform within free-tier terms.</w:t>
            </w:r>
          </w:p>
        </w:tc>
        <w:tc>
          <w:tcPr>
            <w:tcW w:type="dxa" w:w="3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Choosing a platform on cost and interface alone can make a deferred requirement unimplementable, converting a reversible deferral into an irreversible exclusion.</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FEC-04</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Test data and personal information in non-production environments</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Staging is meant to resemble production (Master Brief, s17), while NFR-008 and POPIA constrain where personal information may exist. These two pull in opposite directions and the tension appears the first time anyone needs realistic data.</w:t>
            </w:r>
          </w:p>
        </w:tc>
        <w:tc>
          <w:tcPr>
            <w:tcW w:type="dxa" w:w="26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M3 test strategy and staging deployment; the seeding approach used for the NFR-001 performance measurement at 5 000 records.</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Whether the organisation will provide any real historical data, and the retention position the organisation expects.</w:t>
            </w:r>
          </w:p>
        </w:tc>
        <w:tc>
          <w:tcPr>
            <w:tcW w:type="dxa" w:w="3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Realistic data is usually obtained by copying production. Deciding this after staging exists means the convenient path has already been taken.</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FEC-05</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Environment parity, release control and rollback</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NFR-003 states an availability target and the team has not yet chosen where the system will run. Whether a release can be verified before users see it, and reversed afterwards, is decided by the platform and the release path, not by the application code.</w:t>
            </w:r>
          </w:p>
        </w:tc>
        <w:tc>
          <w:tcPr>
            <w:tcW w:type="dxa" w:w="26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M2 platform decision; M3 staging deployment and production-readiness review; M4 production release and operational evidence.</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Platform cold-start and idle behaviour, deployment mechanism, region and data residency, and whether a previous release can be restored quickly.</w:t>
            </w:r>
          </w:p>
        </w:tc>
        <w:tc>
          <w:tcPr>
            <w:tcW w:type="dxa" w:w="3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Discovering in M3 or M4 that staging cannot resemble production, or that a release cannot be reversed, leaves no time to change platform.</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FEC-06</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Reporting load against the transactional data as volume grows</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NFR-001 is stated at 5 000 requests and the management view in FR-022 aggregates across the same records the Staff queue reads. The interaction between the two only appears at volume.</w:t>
            </w:r>
          </w:p>
        </w:tc>
        <w:tc>
          <w:tcPr>
            <w:tcW w:type="dxa" w:w="26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M2 persistence and indexing design; whether reporting reads the transactional store directly; M3 performance evidence.</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Expected request volume per month and the retention period, neither of which the organisation has yet supplied.</w:t>
            </w:r>
          </w:p>
        </w:tc>
        <w:tc>
          <w:tcPr>
            <w:tcW w:type="dxa" w:w="3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Aggregate reporting queries running against the same store can degrade the Staff queue, so the feature that provides oversight damages the feature that does the work.</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FEC-07</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Review capacity under the mandatory two-approval control</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CON-08 requires two approvals from members other than the author. With three members this is a throughput constraint on every controlled change from M2 onward, and it is being agreed now in the Team Working Agreement rather than discovered at a deadline.</w:t>
            </w:r>
          </w:p>
        </w:tc>
        <w:tc>
          <w:tcPr>
            <w:tcW w:type="dxa" w:w="26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All controlled change in M2, M3 and M4; the authenticity of the review evidence the project is assessed on.</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Each member's realistic weekly availability windows across the remaining milestones.</w:t>
            </w:r>
          </w:p>
        </w:tc>
        <w:tc>
          <w:tcPr>
            <w:tcW w:type="dxa" w:w="3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pressure at a deadline is to bypass the control or to approve without reading. Both are visible in the history, and rubber-stamped approval may receive no credit (Master Brief, s9).</w:t>
            </w:r>
          </w:p>
        </w:tc>
      </w:tr>
    </w:tbl>
    <w:p>
      <w:pPr>
        <w:sectPr>
          <w:headerReference w:type="default" r:id="rId23"/>
          <w:footerReference w:type="default" r:id="rId24"/>
          <w:pgSz w:w="16838" w:h="11906" w:orient="landscape"/>
          <w:pgMar w:top="1000" w:right="1100" w:bottom="900" w:left="1100" w:header="708" w:footer="708" w:gutter="0"/>
          <w:pgNumType/>
          <w:docGrid w:linePitch="360"/>
        </w:sectPr>
      </w:pPr>
    </w:p>
    <w:p>
      <w:pPr>
        <w:pStyle w:val="Heading2"/>
        <w:spacing w:after="95" w:before="230"/>
      </w:pPr>
      <w:r>
        <w:rPr>
          <w:rFonts w:ascii="Calibri" w:cs="Calibri" w:eastAsia="Calibri" w:hAnsi="Calibri"/>
          <w:b/>
          <w:bCs/>
          <w:color w:val="1F3B5C"/>
          <w:sz w:val="23"/>
          <w:szCs w:val="23"/>
        </w:rPr>
        <w:t xml:space="preserve">11.1  Forward Engineering Considerations map</w:t>
      </w:r>
    </w:p>
    <w:p>
      <w:pPr>
        <w:spacing w:after="90" w:before="60"/>
        <w:jc w:val="center"/>
      </w:pPr>
      <w:r>
        <w:drawing>
          <wp:inline distT="0" distB="0" distL="0" distR="0">
            <wp:extent cx="8382000" cy="5438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8382000" cy="5438775"/>
                    </a:xfrm>
                    <a:prstGeom prst="rect">
                      <a:avLst/>
                    </a:prstGeom>
                  </pic:spPr>
                </pic:pic>
              </a:graphicData>
            </a:graphic>
          </wp:inline>
        </w:drawing>
      </w:r>
    </w:p>
    <w:p>
      <w:pPr>
        <w:spacing w:after="150" w:before="0" w:line="264"/>
        <w:jc w:val="center"/>
      </w:pPr>
      <w:r>
        <w:rPr>
          <w:rFonts w:ascii="Calibri" w:cs="Calibri" w:eastAsia="Calibri" w:hAnsi="Calibri"/>
          <w:b/>
          <w:bCs/>
          <w:color w:val="5C6B7A"/>
          <w:sz w:val="18"/>
          <w:szCs w:val="18"/>
        </w:rPr>
        <w:t xml:space="preserve">Figure 1.</w:t>
      </w:r>
      <w:r>
        <w:rPr>
          <w:rFonts w:ascii="Calibri" w:cs="Calibri" w:eastAsia="Calibri" w:hAnsi="Calibri"/>
          <w:color w:val="5C6B7A"/>
          <w:sz w:val="18"/>
          <w:szCs w:val="18"/>
        </w:rPr>
        <w:t xml:space="preserve"> Forward Engineering Considerations map. Original diagram produced by the team.</w:t>
      </w:r>
    </w:p>
    <w:p>
      <w:pPr>
        <w:spacing w:after="120" w:before="0" w:line="264"/>
      </w:pPr>
      <w:r>
        <w:rPr>
          <w:rFonts w:ascii="Calibri" w:cs="Calibri" w:eastAsia="Calibri" w:hAnsi="Calibri"/>
          <w:color w:val="22303F"/>
          <w:sz w:val="21"/>
          <w:szCs w:val="21"/>
        </w:rPr>
        <w:t xml:space="preserve">All seven concerns are opened in M1. What differs is when each is decided and where its consequence lands, and the map is drawn to make that difference visible. Five remain deliberately open, each gating a named deferred decision in s13.2, which is what distinguishes a recorded deferral from an oversight.</w:t>
      </w:r>
    </w:p>
    <w:p>
      <w:pPr>
        <w:spacing w:after="120" w:before="0" w:line="264"/>
      </w:pPr>
      <w:r>
        <w:rPr>
          <w:rFonts w:ascii="Calibri" w:cs="Calibri" w:eastAsia="Calibri" w:hAnsi="Calibri"/>
          <w:color w:val="22303F"/>
          <w:sz w:val="21"/>
          <w:szCs w:val="21"/>
        </w:rPr>
        <w:t xml:space="preserve">Two are decided inside M1 rather than deferred, and the reasoning is worth stating because it is the exception. FEC-02, the status model, is decided because its cost of reversal rises the moment the first request exists: a status added later cannot be applied to historical records, so the reporting the platform exists to provide would become unreliable at the point it is first used. FEC-07, review capacity, is decided because the two-approval control applies to controlled work from now onward, and the pressure to bypass it or to approve without reading arrives at a deadline. Agreeing the review commitment in advance is the only mitigation that works, because the alternative is agreeing it under exactly the pressure that defeats it.</w:t>
      </w:r>
    </w:p>
    <w:p>
      <w:pPr>
        <w:pageBreakBefore/>
      </w:pPr>
    </w:p>
    <w:p>
      <w:pPr>
        <w:pStyle w:val="Heading1"/>
        <w:pBdr>
          <w:bottom w:val="single" w:color="1F3B5C" w:sz="8" w:space="4"/>
        </w:pBdr>
        <w:spacing w:after="130" w:before="300"/>
      </w:pPr>
      <w:r>
        <w:rPr>
          <w:rFonts w:ascii="Calibri" w:cs="Calibri" w:eastAsia="Calibri" w:hAnsi="Calibri"/>
          <w:b/>
          <w:bCs/>
          <w:color w:val="1F3B5C"/>
          <w:sz w:val="28"/>
          <w:szCs w:val="28"/>
        </w:rPr>
        <w:t xml:space="preserve">12.  Process, Team Working Agreement and Governance</w:t>
      </w:r>
    </w:p>
    <w:p>
      <w:pPr>
        <w:pStyle w:val="Heading2"/>
        <w:spacing w:after="95" w:before="230"/>
      </w:pPr>
      <w:r>
        <w:rPr>
          <w:rFonts w:ascii="Calibri" w:cs="Calibri" w:eastAsia="Calibri" w:hAnsi="Calibri"/>
          <w:b/>
          <w:bCs/>
          <w:color w:val="1F3B5C"/>
          <w:sz w:val="23"/>
          <w:szCs w:val="23"/>
        </w:rPr>
        <w:t xml:space="preserve">12.1  Team working agreement</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000"/>
        <w:gridCol w:w="7400"/>
      </w:tblGrid>
      <w:tr>
        <w:trPr>
          <w:tblHeader/>
        </w:trPr>
        <w:tc>
          <w:tcPr>
            <w:tcW w:type="dxa" w:w="20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Area</w:t>
            </w:r>
          </w:p>
        </w:tc>
        <w:tc>
          <w:tcPr>
            <w:tcW w:type="dxa" w:w="74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Agreement</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Cadence</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Two fixed working sessions each week plus one 20-minute checkpoint at which the PED, RTM, Risk Register and repository history are reviewed together. Attendance is recorded.</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Review turnaround</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 Pull Request receives a first review within 24 hours on a working day. This is a commitment made because CON-08 makes every merge dependent on both other members (RSK-04).</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Review windows</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Two windows each week are held open by all three members specifically for review, so that review is scheduled work rather than an interruption.</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Pull Request size</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One issue per Pull Request. A change large enough that a reviewer cannot hold it in their head is split, because approval that does not reflect meaningful review may receive no credit (Master Brief, s9).</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Definition of done</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Change is linked to an issue and a requirement identifier; affected registers are updated in the same Pull Request; checks pass; two approvals from members other than the author; merged by the author after approval.</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Authorship rotation</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 controlled artefact has a single permanent owner. Section ownership in the PED rotates each milestone so every member has authored and reviewed across the whole artefact set (RSK-07).</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Decision rule</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Technical decisions are taken by consensus at a working session and recorded in the Decision Log. Where consensus is not reached within one session the alternatives, the disagreement and the evidence still needed are recorded, and the decision is deferred rather than defaulted.</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Escalation</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 blocking disagreement or a blocked merge lasting more than two working days is raised with the lecturer rather than absorbed silently.</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Communication</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One agreed team channel for coordination. Engineering decisions are not settled in chat; they are recorded in the Decision Log or a Pull Request where they form part of the controlled history.</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AI use</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Permitted as an engineering assistant. Material contributions are recorded in the AI Usage Register at the time. No member approves AI-assisted work they cannot explain without the assistant. AI-assisted work carries the same branch, review and test controls as any other change (Master Brief, s10).</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Secrets</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 credential, key or token is committed. Configuration required to run locally is shared outside the repository through an agreed mechanism and is documented in the repository as a template with placeholder values only (NFR-007).</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Contribution evidence</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Each member maintains authored commits, owned issues, authored Pull Requests and reviewed Pull Requests throughout every milestone, because individual evidence is assessed separately (Master Brief, s8.1).</w:t>
            </w:r>
          </w:p>
        </w:tc>
      </w:tr>
    </w:tbl>
    <w:p>
      <w:pPr>
        <w:pageBreakBefore/>
      </w:pPr>
    </w:p>
    <w:p>
      <w:pPr>
        <w:pStyle w:val="Heading2"/>
        <w:spacing w:after="95" w:before="230"/>
      </w:pPr>
      <w:r>
        <w:rPr>
          <w:rFonts w:ascii="Calibri" w:cs="Calibri" w:eastAsia="Calibri" w:hAnsi="Calibri"/>
          <w:b/>
          <w:bCs/>
          <w:color w:val="1F3B5C"/>
          <w:sz w:val="23"/>
          <w:szCs w:val="23"/>
        </w:rPr>
        <w:t xml:space="preserve">12.2  GitHub governance and configuration management</w:t>
      </w:r>
    </w:p>
    <w:p>
      <w:pPr>
        <w:spacing w:after="120" w:before="0" w:line="264"/>
      </w:pPr>
      <w:r>
        <w:rPr>
          <w:rFonts w:ascii="Calibri" w:cs="Calibri" w:eastAsia="Calibri" w:hAnsi="Calibri"/>
          <w:color w:val="22303F"/>
          <w:sz w:val="20"/>
          <w:szCs w:val="20"/>
        </w:rPr>
        <w:t xml:space="preserve">GitHub is an engineering control and evidence environment, not the place where finished work is uploaded (M1 brief, s3.1). The PED and every register live in the repository from the first week of M1 and change through Pull Requests, because most M1 evidence is documentation and excluding it from controlled history would leave the team with nothing to show.</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400"/>
      </w:tblGrid>
      <w:tr>
        <w:tc>
          <w:tcPr>
            <w:tcW w:type="dxa" w:w="9400"/>
            <w:tcBorders>
              <w:top w:val="single" w:color="FDF6E6" w:sz="4"/>
              <w:left w:val="single" w:color="1F3B5C" w:sz="18"/>
              <w:bottom w:val="single" w:color="FDF6E6" w:sz="4"/>
              <w:right w:val="single" w:color="FDF6E6" w:sz="4"/>
            </w:tcBorders>
            <w:shd w:fill="FDF6E6" w:color="auto" w:val="clear"/>
            <w:tcMar>
              <w:top w:type="dxa" w:w="125"/>
              <w:left w:type="dxa" w:w="155"/>
              <w:bottom w:type="dxa" w:w="125"/>
              <w:right w:type="dxa" w:w="155"/>
            </w:tcMar>
          </w:tcPr>
          <w:p>
            <w:pPr>
              <w:spacing w:after="60" w:before="0" w:line="264"/>
            </w:pPr>
            <w:r>
              <w:rPr>
                <w:rFonts w:ascii="Calibri" w:cs="Calibri" w:eastAsia="Calibri" w:hAnsi="Calibri"/>
                <w:b/>
                <w:bCs/>
                <w:color w:val="1F3B5C"/>
                <w:sz w:val="21"/>
                <w:szCs w:val="21"/>
              </w:rPr>
              <w:t xml:space="preserve">The evidence column is yours and cannot be produced retrospectively</w:t>
            </w:r>
          </w:p>
          <w:p>
            <w:pPr>
              <w:spacing w:after="0" w:before="0" w:line="264"/>
            </w:pPr>
            <w:r>
              <w:rPr>
                <w:rFonts w:ascii="Calibri" w:cs="Calibri" w:eastAsia="Calibri" w:hAnsi="Calibri"/>
                <w:color w:val="22303F"/>
                <w:sz w:val="20"/>
                <w:szCs w:val="20"/>
              </w:rPr>
              <w:t xml:space="preserve">The right-hand column below is the only part of this document that the team must generate rather than complete. Repository history, Pull Requests, reviews and approvals must show authentic progression over time; bulk uploads or activity reconstructed before assessment may receive limited or no credit (Master Brief, s23). This is the one risk in the register with no contingency (RSK-08), because it cannot be mitigated after the fact.</w:t>
            </w:r>
          </w:p>
        </w:tc>
      </w:tr>
    </w:tbl>
    <w:p>
      <w:pPr>
        <w:spacing w:after="15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5100"/>
        <w:gridCol w:w="2400"/>
      </w:tblGrid>
      <w:tr>
        <w:trPr>
          <w:tblHeader/>
        </w:trPr>
        <w:tc>
          <w:tcPr>
            <w:tcW w:type="dxa" w:w="1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Control</w:t>
            </w:r>
          </w:p>
        </w:tc>
        <w:tc>
          <w:tcPr>
            <w:tcW w:type="dxa" w:w="5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How the team applies it</w:t>
            </w:r>
          </w:p>
        </w:tc>
        <w:tc>
          <w:tcPr>
            <w:tcW w:type="dxa" w:w="24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Evidence link</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Repository</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One controlled team repository holding the PED, all registers, and later the source and tests. Documents live in the repository from week one of M1 so that history is authentic rather than reconstructed (RSK-08).</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[Insert repository URL]</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Main branch protection</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main is protected. Direct pushes are disabled for all members including administrators.</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[Insert screenshot or settings export reference]</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Pull Requests</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Required for every substantive change to any controlled artefact, documents included.</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[Insert PR list reference]</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Required approvals</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Two approvals from members other than the author. Self-approval is not accepted.</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[Insert branch protection rule reference]</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Stale review dismissal</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Approvals are dismissed when new commits are pushed, so an approval always refers to the merged content.</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[Insert setting reference]</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Linear history</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Enabled, so that the controlled history stays readable as evidence.</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[Insert setting reference]</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Branch naming</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type/issue-number-short-description, for example docs/14-scope-baseline or feat/27-request-submission.</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[Insert branch list reference]</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Issues and board</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Every substantive change is represented by an issue on the project board and referenced from the branch and Pull Request.</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[Insert board URL]</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Pull Request template</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Prompts for the linked issue and requirement identifier, the registers updated, the checks run, and what the reviewer should focus on.</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[Insert .github/pull_request_template.md reference]</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Review checklist</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Alignment with the requirement and its acceptance criteria; correctness; maintainability; security and privacy implications; test and regression impact; dependency changes; traceability impact; whether the change belongs in the controlled baseline (Master Brief, s9.1).</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[Insert example review comment permalink]</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Secret scanning</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Enabled on the repository, with push protection where available (NFR-007).</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[Insert setting reference]</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Repository structure</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docs/PED, docs/requirements, docs/risk, docs/decisions, docs/change, docs/quality, docs/security, docs/deployment, src, tests, .github (Master Brief, Appendix C).</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[Insert repository tree reference]</w:t>
            </w:r>
          </w:p>
        </w:tc>
      </w:tr>
    </w:tbl>
    <w:p>
      <w:pPr>
        <w:spacing w:after="160"/>
      </w:pPr>
    </w:p>
    <w:p>
      <w:pPr>
        <w:pStyle w:val="Heading2"/>
        <w:spacing w:after="95" w:before="230"/>
      </w:pPr>
      <w:r>
        <w:rPr>
          <w:rFonts w:ascii="Calibri" w:cs="Calibri" w:eastAsia="Calibri" w:hAnsi="Calibri"/>
          <w:b/>
          <w:bCs/>
          <w:color w:val="1F3B5C"/>
          <w:sz w:val="23"/>
          <w:szCs w:val="23"/>
        </w:rPr>
        <w:t xml:space="preserve">12.3  Meaningful review</w:t>
      </w:r>
    </w:p>
    <w:p>
      <w:pPr>
        <w:spacing w:after="120" w:before="0" w:line="264"/>
      </w:pPr>
      <w:r>
        <w:rPr>
          <w:rFonts w:ascii="Calibri" w:cs="Calibri" w:eastAsia="Calibri" w:hAnsi="Calibri"/>
          <w:color w:val="22303F"/>
          <w:sz w:val="21"/>
          <w:szCs w:val="21"/>
        </w:rPr>
        <w:t xml:space="preserve">An approval records a judgement that the change belongs in the controlled baseline. The team applies the review criteria in Master Brief s9.1: alignment with the requirement and its acceptance criteria, correctness and design consistency, maintainability and technical debt, security and privacy implications, tests and regression impact, dependency changes, and traceability impact. A reviewer who cannot identify what the change is for asks rather than approves, and an approval given without reading may receive no credit.</w:t>
      </w:r>
    </w:p>
    <w:p>
      <w:pPr>
        <w:pStyle w:val="Heading2"/>
        <w:spacing w:after="95" w:before="230"/>
      </w:pPr>
      <w:r>
        <w:rPr>
          <w:rFonts w:ascii="Calibri" w:cs="Calibri" w:eastAsia="Calibri" w:hAnsi="Calibri"/>
          <w:b/>
          <w:bCs/>
          <w:color w:val="1F3B5C"/>
          <w:sz w:val="23"/>
          <w:szCs w:val="23"/>
        </w:rPr>
        <w:t xml:space="preserve">12.4  Change control after baseline</w:t>
      </w:r>
    </w:p>
    <w:p>
      <w:pPr>
        <w:spacing w:after="120" w:before="0" w:line="264"/>
      </w:pPr>
      <w:r>
        <w:rPr>
          <w:rFonts w:ascii="Calibri" w:cs="Calibri" w:eastAsia="Calibri" w:hAnsi="Calibri"/>
          <w:color w:val="22303F"/>
          <w:sz w:val="21"/>
          <w:szCs w:val="21"/>
        </w:rPr>
        <w:t xml:space="preserve">Once PED v1.0 is signed off, a change to baselined scope, requirements or the status model follows Master Brief s14: change request, impact analysis, decision, authorisation, implementation, verification, then baseline update. The impact template is held on the Change Requests sheet of the registers workbook and is prepared in advance because a change request is expected in M3 (RSK-03).</w:t>
      </w:r>
    </w:p>
    <w:p>
      <w:pPr>
        <w:pageBreakBefore/>
      </w:pPr>
    </w:p>
    <w:p>
      <w:pPr>
        <w:sectPr>
          <w:headerReference w:type="default" r:id="rId25"/>
          <w:footerReference w:type="default" r:id="rId26"/>
          <w:pgSz w:w="11906" w:h="16838" w:orient="portrait"/>
          <w:pgMar w:top="1134" w:right="1247" w:bottom="1000" w:left="1247" w:header="708" w:footer="708" w:gutter="0"/>
          <w:pgNumType/>
          <w:docGrid w:linePitch="360"/>
        </w:sectPr>
      </w:pPr>
    </w:p>
    <w:p>
      <w:pPr>
        <w:pStyle w:val="Heading1"/>
        <w:pBdr>
          <w:bottom w:val="single" w:color="1F3B5C" w:sz="8" w:space="4"/>
        </w:pBdr>
        <w:spacing w:after="130" w:before="300"/>
      </w:pPr>
      <w:r>
        <w:rPr>
          <w:rFonts w:ascii="Calibri" w:cs="Calibri" w:eastAsia="Calibri" w:hAnsi="Calibri"/>
          <w:b/>
          <w:bCs/>
          <w:color w:val="1F3B5C"/>
          <w:sz w:val="28"/>
          <w:szCs w:val="28"/>
        </w:rPr>
        <w:t xml:space="preserve">13.  Engineering Decision Log</w:t>
      </w:r>
    </w:p>
    <w:p>
      <w:pPr>
        <w:spacing w:after="120" w:before="0" w:line="264"/>
      </w:pPr>
      <w:r>
        <w:rPr>
          <w:rFonts w:ascii="Calibri" w:cs="Calibri" w:eastAsia="Calibri" w:hAnsi="Calibri"/>
          <w:color w:val="22303F"/>
          <w:sz w:val="19"/>
          <w:szCs w:val="19"/>
        </w:rPr>
        <w:t xml:space="preserve">Significant decisions are recorded so that later consequences can be evaluated against what was known at the time (Master Brief, s13). Entries marked DEFERRED are as deliberate as those marked Decided: each states the evidence still required before the decision can responsibly be taken.</w:t>
      </w:r>
    </w:p>
    <w:tbl>
      <w:tblPr>
        <w:tblW w:type="dxa" w:w="16100"/>
        <w:tblBorders>
          <w:top w:val="single" w:color="auto" w:sz="4"/>
          <w:left w:val="single" w:color="auto" w:sz="4"/>
          <w:bottom w:val="single" w:color="auto" w:sz="4"/>
          <w:right w:val="single" w:color="auto" w:sz="4"/>
          <w:insideH w:val="single" w:color="auto" w:sz="4"/>
          <w:insideV w:val="single" w:color="auto" w:sz="4"/>
        </w:tblBorders>
      </w:tblPr>
      <w:tblGrid>
        <w:gridCol w:w="700"/>
        <w:gridCol w:w="1500"/>
        <w:gridCol w:w="950"/>
        <w:gridCol w:w="1500"/>
        <w:gridCol w:w="1150"/>
        <w:gridCol w:w="1500"/>
        <w:gridCol w:w="1250"/>
        <w:gridCol w:w="1900"/>
        <w:gridCol w:w="1500"/>
        <w:gridCol w:w="1200"/>
        <w:gridCol w:w="1500"/>
        <w:gridCol w:w="1450"/>
      </w:tblGrid>
      <w:tr>
        <w:trPr>
          <w:tblHeader/>
        </w:trPr>
        <w:tc>
          <w:tcPr>
            <w:tcW w:type="dxa" w:w="7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ID</w:t>
            </w:r>
          </w:p>
        </w:tc>
        <w:tc>
          <w:tcPr>
            <w:tcW w:type="dxa" w:w="15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Decision</w:t>
            </w:r>
          </w:p>
        </w:tc>
        <w:tc>
          <w:tcPr>
            <w:tcW w:type="dxa" w:w="9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Status</w:t>
            </w:r>
          </w:p>
        </w:tc>
        <w:tc>
          <w:tcPr>
            <w:tcW w:type="dxa" w:w="15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Context</w:t>
            </w:r>
          </w:p>
        </w:tc>
        <w:tc>
          <w:tcPr>
            <w:tcW w:type="dxa" w:w="11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Constraints</w:t>
            </w:r>
          </w:p>
        </w:tc>
        <w:tc>
          <w:tcPr>
            <w:tcW w:type="dxa" w:w="15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Alternatives</w:t>
            </w:r>
          </w:p>
        </w:tc>
        <w:tc>
          <w:tcPr>
            <w:tcW w:type="dxa" w:w="12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Decision taken</w:t>
            </w:r>
          </w:p>
        </w:tc>
        <w:tc>
          <w:tcPr>
            <w:tcW w:type="dxa" w:w="1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Rationale</w:t>
            </w:r>
          </w:p>
        </w:tc>
        <w:tc>
          <w:tcPr>
            <w:tcW w:type="dxa" w:w="15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Trade-offs</w:t>
            </w:r>
          </w:p>
        </w:tc>
        <w:tc>
          <w:tcPr>
            <w:tcW w:type="dxa" w:w="12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Risks</w:t>
            </w:r>
          </w:p>
        </w:tc>
        <w:tc>
          <w:tcPr>
            <w:tcW w:type="dxa" w:w="15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Evidence / still required</w:t>
            </w:r>
          </w:p>
        </w:tc>
        <w:tc>
          <w:tcPr>
            <w:tcW w:type="dxa" w:w="14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Later consequence</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DEC-001</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Adopt four roles: Requester, Staff, Coordinator and Manager</w:t>
            </w:r>
          </w:p>
        </w:tc>
        <w:tc>
          <w:tcPr>
            <w:tcW w:type="dxa" w:w="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Decided</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The capabilities in Master Brief s3 group into three actor types, but assignment and prioritisation are distinct from carrying out work.</w:t>
            </w:r>
          </w:p>
        </w:tc>
        <w:tc>
          <w:tcPr>
            <w:tcW w:type="dxa" w:w="1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CON-06 team capability; CON-02 schedule; least privilege under CON-05.</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Three roles, folding coordination into Staff. (b) Four roles as adopted. (c) Five roles, separating Administrator from Manager.</w:t>
            </w:r>
          </w:p>
        </w:tc>
        <w:tc>
          <w:tcPr>
            <w:tcW w:type="dxa" w:w="12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Four roles, with administration held by Manager.</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Three roles would give every Staff member the ability to set priority, defeating DEC-002 and the accountability the platform exists to create. Five roles adds a permission set and a test column for a separation no stakeholder in the analysis has asked for.</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More roles means a larger access matrix and more negative tests. Manager holds both oversight and administration, which is a mild separation-of-duties compromise accepted for a team of this size.</w:t>
            </w:r>
          </w:p>
        </w:tc>
        <w:tc>
          <w:tcPr>
            <w:tcW w:type="dxa" w:w="1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If the organisation later requires separation of administration from oversight, the matrix and tests must be revised.</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PED s5 stakeholder analysis; the access matrix in s8.4.</w:t>
            </w:r>
          </w:p>
        </w:tc>
        <w:tc>
          <w:tcPr>
            <w:tcW w:type="dxa" w:w="1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Sets the permission model that FR-002 and every negative test in M3 are derived from.</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DEC-002</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Requester-reported urgency is an input; the Coordinator owns priority</w:t>
            </w:r>
          </w:p>
        </w:tc>
        <w:tc>
          <w:tcPr>
            <w:tcW w:type="dxa" w:w="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Decided</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STK-01 wants to signal that a request is urgent. STK-03 is accountable for the order in which work is actually done.</w:t>
            </w:r>
          </w:p>
        </w:tc>
        <w:tc>
          <w:tcPr>
            <w:tcW w:type="dxa" w:w="1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Accountability requirement in Master Brief s2; no reliable way to validate a self-declared urgency.</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Requester sets priority directly. (b) No urgency captured at all. (c) Urgency captured as a separate attribute, priority set by Coordinator.</w:t>
            </w:r>
          </w:p>
        </w:tc>
        <w:tc>
          <w:tcPr>
            <w:tcW w:type="dxa" w:w="12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(c).</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(a) makes priority meaningless within a short period because there is no cost to declaring urgency. Option (b) discards genuine information the Requester holds about impact.</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The Requester may perceive that their urgency was ignored. Mitigated by keeping both values visible to the Coordinator and by FR-020 requiring a reason on rejection.</w:t>
            </w:r>
          </w:p>
        </w:tc>
        <w:tc>
          <w:tcPr>
            <w:tcW w:type="dxa" w:w="1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If the two values diverge persistently the organisation may need a documented triage rule, which does not exist yet.</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FR-021; stakeholder conflict recorded against STK-03.</w:t>
            </w:r>
          </w:p>
        </w:tc>
        <w:tc>
          <w:tcPr>
            <w:tcW w:type="dxa" w:w="1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Requires two attributes in the M2 data design, not one.</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DEC-003</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Separate internal action entries from requester-visible entries</w:t>
            </w:r>
          </w:p>
        </w:tc>
        <w:tc>
          <w:tcPr>
            <w:tcW w:type="dxa" w:w="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Decided</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STK-01 wants full visibility. STK-02 needs to record candid working notes, including notes about access, safety or difficulty.</w:t>
            </w:r>
          </w:p>
        </w:tc>
        <w:tc>
          <w:tcPr>
            <w:tcW w:type="dxa" w:w="1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CON-05 security and least privilege; POPIA minimisation under NFR-008.</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All notes visible to the Requester. (b) No notes visible to the Requester. (c) Visibility chosen explicitly per entry.</w:t>
            </w:r>
          </w:p>
        </w:tc>
        <w:tc>
          <w:tcPr>
            <w:tcW w:type="dxa" w:w="12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(c), with no default visibility.</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(a) suppresses honest recording, which degrades the record the platform exists to create. Option (b) returns the Requester to chasing by telephone, which is the original problem.</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Every action entry now carries a decision the author must make, which is a small ongoing cost and a possible source of error.</w:t>
            </w:r>
          </w:p>
        </w:tc>
        <w:tc>
          <w:tcPr>
            <w:tcW w:type="dxa" w:w="1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An entry marked with the wrong visibility is a disclosure. FR-017 therefore forbids a silent default.</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FR-011, FR-017; stakeholder conflict recorded against STK-01 and STK-02.</w:t>
            </w:r>
          </w:p>
        </w:tc>
        <w:tc>
          <w:tcPr>
            <w:tcW w:type="dxa" w:w="1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Makes visibility a field in the data model and a case in the M3 negative-test matrix.</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DEC-004</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Issue a unique human-readable request reference at submission</w:t>
            </w:r>
          </w:p>
        </w:tc>
        <w:tc>
          <w:tcPr>
            <w:tcW w:type="dxa" w:w="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Decided</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Requesters, staff and management all need to refer to one request unambiguously across conversations that will continue to happen outside the system.</w:t>
            </w:r>
          </w:p>
        </w:tc>
        <w:tc>
          <w:tcPr>
            <w:tcW w:type="dxa" w:w="1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CON-01 scope; the accountability need in Master Brief s2.</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Expose the internal identifier. (b) Issue a separate human-readable reference.</w:t>
            </w:r>
          </w:p>
        </w:tc>
        <w:tc>
          <w:tcPr>
            <w:tcW w:type="dxa" w:w="12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(b).</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Exposing an internal sequential identifier both reveals volume and invites enumeration attempts against FR-012.</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second identifier must be generated, kept unique and never reused, which is a small amount of additional logic and one more uniqueness constraint.</w:t>
            </w:r>
          </w:p>
        </w:tc>
        <w:tc>
          <w:tcPr>
            <w:tcW w:type="dxa" w:w="1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Reference collision or reuse would corrupt the audit trail. FR-008 states the acceptance criterion.</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FR-008; FR-012.</w:t>
            </w:r>
          </w:p>
        </w:tc>
        <w:tc>
          <w:tcPr>
            <w:tcW w:type="dxa" w:w="1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Constrains the M2 data design to a generation strategy that is safe under concurrent submission.</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DEC-005</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In-application notification only in the baseline</w:t>
            </w:r>
          </w:p>
        </w:tc>
        <w:tc>
          <w:tcPr>
            <w:tcW w:type="dxa" w:w="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Decided (scope)</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STK-01 needs to know when something happens to a request. Email, SMS and WhatsApp channels all reach the requester more directly.</w:t>
            </w:r>
          </w:p>
        </w:tc>
        <w:tc>
          <w:tcPr>
            <w:tcW w:type="dxa" w:w="1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CON-02 schedule; CON-03 cost; unknown platform background-processing limits.</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Email notification in the baseline. (b) In-application indication only. (c) Both.</w:t>
            </w:r>
          </w:p>
        </w:tc>
        <w:tc>
          <w:tcPr>
            <w:tcW w:type="dxa" w:w="12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(b), with the channel deferred as SC-D-01.</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An external channel needs a sending service, a background worker, delivery-failure handling and a bounce position, none of which can be specified before the platform is known.</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The Requester must sign in to learn of an update, which is weaker than the stated need. This is a known gap, recorded rather than concealed.</w:t>
            </w:r>
          </w:p>
        </w:tc>
        <w:tc>
          <w:tcPr>
            <w:tcW w:type="dxa" w:w="1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If the M2 platform cannot run a background worker, the deferral becomes an exclusion. Recorded as FEC-03.</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SC-D-01; FEC-03.</w:t>
            </w:r>
          </w:p>
        </w:tc>
        <w:tc>
          <w:tcPr>
            <w:tcW w:type="dxa" w:w="1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Makes background-process support a required criterion in DEC-010.</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DEC-006</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Exclude file attachments from the baseline</w:t>
            </w:r>
          </w:p>
        </w:tc>
        <w:tc>
          <w:tcPr>
            <w:tcW w:type="dxa" w:w="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Decided (scope)</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photograph of a fault is high-value evidence for STK-02 and would reduce return visits.</w:t>
            </w:r>
          </w:p>
        </w:tc>
        <w:tc>
          <w:tcPr>
            <w:tcW w:type="dxa" w:w="1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CON-03 cost of storage; CON-05 security; CON-02 schedule.</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Include attachments. (b) Include with type and size restriction only. (c) Defer.</w:t>
            </w:r>
          </w:p>
        </w:tc>
        <w:tc>
          <w:tcPr>
            <w:tcW w:type="dxa" w:w="12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(c), deferred as SC-D-02. Defended in PED s6.4.</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Attachments introduce storage cost, content-type validation, malware scanning, a retention position and personal information inside images. The team cannot meet the security obligations within the schedule, and a half-controlled attachment feature is worse than none.</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Requesters will describe faults in text, which is less precise. Staff may need more site visits.</w:t>
            </w:r>
          </w:p>
        </w:tc>
        <w:tc>
          <w:tcPr>
            <w:tcW w:type="dxa" w:w="1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Deferral is only safe if the M2 data design does not preclude adding an attachment relationship later.</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SC-D-02; PED s6.4.</w:t>
            </w:r>
          </w:p>
        </w:tc>
        <w:tc>
          <w:tcPr>
            <w:tcW w:type="dxa" w:w="1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The M2 data design must leave room for an attachment relationship without a migration.</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DEC-007</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Adopt MoSCoW prioritisation and the project identifier scheme</w:t>
            </w:r>
          </w:p>
        </w:tc>
        <w:tc>
          <w:tcPr>
            <w:tcW w:type="dxa" w:w="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Decided (process)</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Requirements, risks, decisions and changes must carry stable identifiers that survive into later milestones (Master Brief, s6.1 and s11).</w:t>
            </w:r>
          </w:p>
        </w:tc>
        <w:tc>
          <w:tcPr>
            <w:tcW w:type="dxa" w:w="1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CON-08 governance; the RTM must remain usable as evidence grows.</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High/Medium/Low priority. (b) MoSCoW. (c) Numeric ranking.</w:t>
            </w:r>
          </w:p>
        </w:tc>
        <w:tc>
          <w:tcPr>
            <w:tcW w:type="dxa" w:w="12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MoSCoW, with the scheme FR-nnn, NFR-nnn, STK-nn, CON-nn, RSK-nn, DEC-nnn, FEC-nn, SC-x-nn, CR-nnn.</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MoSCoW states the commitment rather than a relative ordering, which is what a baseline needs. It also identifies the Should and Could set that RSK-03 designates as the absorption buffer for the M3 change.</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MoSCoW invites everything to be labelled Must. Countered by requiring a stakeholder source for each item.</w:t>
            </w:r>
          </w:p>
        </w:tc>
        <w:tc>
          <w:tcPr>
            <w:tcW w:type="dxa" w:w="1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Identifiers must not be renumbered once baselined; doing so silently breaks the RTM.</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Requirements register; RTM.</w:t>
            </w:r>
          </w:p>
        </w:tc>
        <w:tc>
          <w:tcPr>
            <w:tcW w:type="dxa" w:w="1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Every later artefact references these identifiers, so the scheme is effectively irreversible after sign-off.</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DEC-008</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Technology stack selection</w:t>
            </w:r>
          </w:p>
        </w:tc>
        <w:tc>
          <w:tcPr>
            <w:tcW w:type="dxa" w:w="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DEFERRED to M2</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M1 is explicitly not a technology-selection milestone (M1 brief, s5), and the team does not yet hold the evidence to choose responsibly.</w:t>
            </w:r>
          </w:p>
        </w:tc>
        <w:tc>
          <w:tcPr>
            <w:tcW w:type="dxa" w:w="1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CON-06 capability; CON-07 platform availability; CON-03 cost; CON-05 security.</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Not yet evaluated. Candidate evaluation is an M2 activity.</w:t>
            </w:r>
          </w:p>
        </w:tc>
        <w:tc>
          <w:tcPr>
            <w:tcW w:type="dxa" w:w="12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Deliberately not decided.</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Deciding now would rest on familiarity rather than evidence, which is the specific failure Master Brief s18.1 warns against.</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Deferral costs nothing while requirements are being baselined, because no baselined requirement in this document names a technology.</w:t>
            </w:r>
          </w:p>
        </w:tc>
        <w:tc>
          <w:tcPr>
            <w:tcW w:type="dxa" w:w="1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Deferring past M2 would begin to constrain construction time. The decision point is the start of M2.</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Evidence still required: requirement and architecture fit; realistic learning curve for these three members; availability and compatibility on the BC Desktop platform; dependency ecosystem maturity; testing and automation support; deployment compatibility; free-tier limits and likely operational cost; lock-in and unavailability consequences.</w:t>
            </w:r>
          </w:p>
        </w:tc>
        <w:tc>
          <w:tcPr>
            <w:tcW w:type="dxa" w:w="1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Determines construction, testing and deployment for the remainder of the project.</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DEC-009</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Software architecture style</w:t>
            </w:r>
          </w:p>
        </w:tc>
        <w:tc>
          <w:tcPr>
            <w:tcW w:type="dxa" w:w="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DEFERRED to M2</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Architecture must follow from the architecturally significant requirements, and those are only being baselined in this document.</w:t>
            </w:r>
          </w:p>
        </w:tc>
        <w:tc>
          <w:tcPr>
            <w:tcW w:type="dxa" w:w="1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NFR-001 performance; NFR-003 availability; NFR-005 authorisation; NFR-012 maintainability; CON-06 capability.</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Not yet evaluated.</w:t>
            </w:r>
          </w:p>
        </w:tc>
        <w:tc>
          <w:tcPr>
            <w:tcW w:type="dxa" w:w="12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Deliberately not decided.</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The quality attributes that should drive the choice are baselined here for the first time. Choosing before they were agreed would invert the dependency.</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None while requirements work continues.</w:t>
            </w:r>
          </w:p>
        </w:tc>
        <w:tc>
          <w:tcPr>
            <w:tcW w:type="dxa" w:w="1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The choice interacts with DEC-008 and DEC-010; deciding any one in isolation constrains the other two.</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Evidence still required: which NFRs prove architecturally significant; the record-level authorisation shape from FEC-01; the reporting load position from FEC-06.</w:t>
            </w:r>
          </w:p>
        </w:tc>
        <w:tc>
          <w:tcPr>
            <w:tcW w:type="dxa" w:w="1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Sets the structure that maintainability and change cost depend on for the rest of the project.</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DEC-010</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Deployment platform and environment topology</w:t>
            </w:r>
          </w:p>
        </w:tc>
        <w:tc>
          <w:tcPr>
            <w:tcW w:type="dxa" w:w="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DEFERRED to M2</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The availability target NFR-003 and the cost ceiling NFR-013 both depend on a platform that has not been chosen.</w:t>
            </w:r>
          </w:p>
        </w:tc>
        <w:tc>
          <w:tcPr>
            <w:tcW w:type="dxa" w:w="1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CON-03 cost; CON-07 availability of the platform; NFR-003; NFR-013.</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Not yet evaluated.</w:t>
            </w:r>
          </w:p>
        </w:tc>
        <w:tc>
          <w:tcPr>
            <w:tcW w:type="dxa" w:w="12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Deliberately not decided.</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Platform behaviour cannot be assumed from marketing material; free-tier terms, idle behaviour and background-process limits must be verified (Master Brief, s23).</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None yet, but this decision has the shortest safe deferral window of the four because FEC-03 and FEC-05 both wait on it.</w:t>
            </w:r>
          </w:p>
        </w:tc>
        <w:tc>
          <w:tcPr>
            <w:tcW w:type="dxa" w:w="1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Choosing on cost alone could permanently close the deferred notification channel (FEC-03) or make staging parity impossible (FEC-05).</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Evidence still required: free-tier quotas and terms; cold-start and idle behaviour measured against NFR-003; background-process and scheduled-job support; region and data residency; rollback mechanism; projected cost beyond the educational context.</w:t>
            </w:r>
          </w:p>
        </w:tc>
        <w:tc>
          <w:tcPr>
            <w:tcW w:type="dxa" w:w="1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Determines whether NFR-003 and NFR-013 are achievable and whether SC-D-01 can ever be reinstated.</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DEC-011</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Persistence technology and schema design</w:t>
            </w:r>
          </w:p>
        </w:tc>
        <w:tc>
          <w:tcPr>
            <w:tcW w:type="dxa" w:w="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DEFERRED to M2</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The data model must express FR-012 record isolation, FR-025 audit immutability and the FEC-01 authorisation scope, which are baselined here but not yet designed.</w:t>
            </w:r>
          </w:p>
        </w:tc>
        <w:tc>
          <w:tcPr>
            <w:tcW w:type="dxa" w:w="1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CON-05 security; NFR-001 performance; NFR-011 auditability.</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Not yet evaluated.</w:t>
            </w:r>
          </w:p>
        </w:tc>
        <w:tc>
          <w:tcPr>
            <w:tcW w:type="dxa" w:w="12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Deliberately not decided.</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Schema design is explicitly outside M1 (M1 brief, s5). The requirements it must satisfy are inside M1, and are recorded here.</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None while requirements work continues.</w:t>
            </w:r>
          </w:p>
        </w:tc>
        <w:tc>
          <w:tcPr>
            <w:tcW w:type="dxa" w:w="1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This is the longest-lived commitment in the system, because data outlives the application. FEC-01, FEC-02 and FEC-06 all constrain it.</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Evidence still required: the outcome of DEC-008; expected volume and retention from the organisation (FEC-06); the final record-level scope decision (FEC-01).</w:t>
            </w:r>
          </w:p>
        </w:tc>
        <w:tc>
          <w:tcPr>
            <w:tcW w:type="dxa" w:w="1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Constrains every later change to reporting, authorisation and migration.</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DEC-012</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Adopt protected main with short-lived branches and two-reviewer approval</w:t>
            </w:r>
          </w:p>
        </w:tc>
        <w:tc>
          <w:tcPr>
            <w:tcW w:type="dxa" w:w="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Decided (governance)</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Master Brief s9 mandates the controls. The team must decide how to operate them with three members from the first week of M1.</w:t>
            </w:r>
          </w:p>
        </w:tc>
        <w:tc>
          <w:tcPr>
            <w:tcW w:type="dxa" w:w="1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CON-08 governance; CON-02 schedule; RSK-04 review capacity.</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Long-lived feature branches per member. (b) Short-lived branches per issue with rapid review. (c) Direct commits to main for documents only.</w:t>
            </w:r>
          </w:p>
        </w:tc>
        <w:tc>
          <w:tcPr>
            <w:tcW w:type="dxa" w:w="12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(b). Every substantive change to any controlled artefact, document or code, enters main through a Pull Request with two approvals.</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(a) produces large, hard-to-review Pull Requests that invite rubber-stamping. Option (c) is not permitted by Master Brief s9 and would exclude the PED and registers from controlled history, which is where most M1 evidence lives.</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Every document change now costs a Pull Request and two reviews. This is a real overhead accepted because the review history is itself assessed evidence.</w:t>
            </w:r>
          </w:p>
        </w:tc>
        <w:tc>
          <w:tcPr>
            <w:tcW w:type="dxa" w:w="1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With three members, one absence blocks all merges. Recorded as RSK-04 and FEC-07.</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Repository branch protection settings; Pull Request history; PED s12.</w:t>
            </w:r>
          </w:p>
        </w:tc>
        <w:tc>
          <w:tcPr>
            <w:tcW w:type="dxa" w:w="1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Applies to every controlled change for the remainder of the project.</w:t>
            </w:r>
          </w:p>
        </w:tc>
      </w:tr>
    </w:tbl>
    <w:p>
      <w:pPr>
        <w:sectPr>
          <w:headerReference w:type="default" r:id="rId27"/>
          <w:footerReference w:type="default" r:id="rId28"/>
          <w:pgSz w:w="16838" w:h="11906" w:orient="landscape"/>
          <w:pgMar w:top="1000" w:right="1100" w:bottom="900" w:left="1100" w:header="708" w:footer="708" w:gutter="0"/>
          <w:pgNumType/>
          <w:docGrid w:linePitch="360"/>
        </w:sectPr>
      </w:pPr>
    </w:p>
    <w:p>
      <w:pPr>
        <w:pStyle w:val="Heading2"/>
        <w:spacing w:after="95" w:before="230"/>
      </w:pPr>
      <w:r>
        <w:rPr>
          <w:rFonts w:ascii="Calibri" w:cs="Calibri" w:eastAsia="Calibri" w:hAnsi="Calibri"/>
          <w:b/>
          <w:bCs/>
          <w:color w:val="1F3B5C"/>
          <w:sz w:val="23"/>
          <w:szCs w:val="23"/>
        </w:rPr>
        <w:t xml:space="preserve">13.1  The decision the team deliberately did not make</w:t>
      </w:r>
    </w:p>
    <w:p>
      <w:pPr>
        <w:spacing w:after="120" w:before="0" w:line="264"/>
      </w:pPr>
      <w:r>
        <w:rPr>
          <w:rFonts w:ascii="Calibri" w:cs="Calibri" w:eastAsia="Calibri" w:hAnsi="Calibri"/>
          <w:color w:val="22303F"/>
          <w:sz w:val="21"/>
          <w:szCs w:val="21"/>
        </w:rPr>
        <w:t xml:space="preserve">Four decisions are recorded as deferred: technology stack (DEC-008), architecture style (DEC-009), deployment platform (DEC-010) and persistence design (DEC-011). Of these, </w:t>
      </w:r>
      <w:r>
        <w:rPr>
          <w:rFonts w:ascii="Calibri" w:cs="Calibri" w:eastAsia="Calibri" w:hAnsi="Calibri"/>
          <w:b/>
          <w:bCs/>
          <w:color w:val="22303F"/>
          <w:sz w:val="21"/>
          <w:szCs w:val="21"/>
        </w:rPr>
        <w:t xml:space="preserve">DEC-008, the technology stack, is the one the team was most tempted to take</w:t>
      </w:r>
      <w:r>
        <w:rPr>
          <w:rFonts w:ascii="Calibri" w:cs="Calibri" w:eastAsia="Calibri" w:hAnsi="Calibri"/>
          <w:color w:val="22303F"/>
          <w:sz w:val="21"/>
          <w:szCs w:val="21"/>
        </w:rPr>
        <w:t xml:space="preserve">, and the reasoning for not taking it is the one most worth defending.</w:t>
      </w:r>
    </w:p>
    <w:p>
      <w:pPr>
        <w:spacing w:after="120" w:before="0" w:line="264"/>
      </w:pPr>
      <w:r>
        <w:rPr>
          <w:rFonts w:ascii="Calibri" w:cs="Calibri" w:eastAsia="Calibri" w:hAnsi="Calibri"/>
          <w:color w:val="22303F"/>
          <w:sz w:val="21"/>
          <w:szCs w:val="21"/>
        </w:rPr>
        <w:t xml:space="preserve">The temptation is that the team already has preferences, and choosing now would feel like progress. The Master Brief is direct that this is the failure mode: technology selection is an assessed engineering decision, not a preference exercise, and it must be justified against requirements, capability and constraints rather than familiarity (Belgium Campus ITversity, 2026a, s18.1). At the point M1 began, the team did not hold the evidence to make that justification, because the requirements it must be justified against are being baselined in this document for the first time.</w:t>
      </w:r>
    </w:p>
    <w:p>
      <w:pPr>
        <w:spacing w:after="120" w:before="0" w:line="264"/>
      </w:pPr>
      <w:r>
        <w:rPr>
          <w:rFonts w:ascii="Calibri" w:cs="Calibri" w:eastAsia="Calibri" w:hAnsi="Calibri"/>
          <w:b/>
          <w:bCs/>
          <w:color w:val="22303F"/>
          <w:sz w:val="21"/>
          <w:szCs w:val="21"/>
        </w:rPr>
        <w:t xml:space="preserve">What makes the deferral safe.</w:t>
      </w:r>
      <w:r>
        <w:rPr>
          <w:rFonts w:ascii="Calibri" w:cs="Calibri" w:eastAsia="Calibri" w:hAnsi="Calibri"/>
          <w:color w:val="22303F"/>
          <w:sz w:val="21"/>
          <w:szCs w:val="21"/>
        </w:rPr>
        <w:t xml:space="preserve"> Deferral costs nothing while requirements work continues, and the test of that claim is concrete: no baselined requirement in this document names a technology, a framework, a database or a platform. The NFRs state measurable targets and measurement methods; none states an implementation. If a requirement here had assumed a stack, the deferral would be fiction.</w:t>
      </w:r>
    </w:p>
    <w:p>
      <w:pPr>
        <w:spacing w:after="120" w:before="0" w:line="264"/>
      </w:pPr>
      <w:r>
        <w:rPr>
          <w:rFonts w:ascii="Calibri" w:cs="Calibri" w:eastAsia="Calibri" w:hAnsi="Calibri"/>
          <w:b/>
          <w:bCs/>
          <w:color w:val="22303F"/>
          <w:sz w:val="21"/>
          <w:szCs w:val="21"/>
        </w:rPr>
        <w:t xml:space="preserve">What the team still needs, and when the window closes.</w:t>
      </w:r>
      <w:r>
        <w:rPr>
          <w:rFonts w:ascii="Calibri" w:cs="Calibri" w:eastAsia="Calibri" w:hAnsi="Calibri"/>
          <w:color w:val="22303F"/>
          <w:sz w:val="21"/>
          <w:szCs w:val="21"/>
        </w:rPr>
        <w:t xml:space="preserve"> DEC-008 records the evidence required: requirement and architecture fit, realistic learning curve for these three members, availability and compatibility on the BC Desktop platform (CON-07), dependency ecosystem maturity, testing and automation support, deployment compatibility, free-tier limits and likely operational cost, and the consequence if the technology becomes unavailable. The decision point is the start of M2. Deferring past it begins to consume construction time, which is RSK-01. Of the four, DEC-010 has the shortest safe window, because FEC-03 and FEC-05 both wait on it.</w:t>
      </w:r>
    </w:p>
    <w:p>
      <w:pPr>
        <w:pageBreakBefore/>
      </w:pPr>
    </w:p>
    <w:p>
      <w:pPr>
        <w:pStyle w:val="Heading1"/>
        <w:pBdr>
          <w:bottom w:val="single" w:color="1F3B5C" w:sz="8" w:space="4"/>
        </w:pBdr>
        <w:spacing w:after="130" w:before="300"/>
      </w:pPr>
      <w:r>
        <w:rPr>
          <w:rFonts w:ascii="Calibri" w:cs="Calibri" w:eastAsia="Calibri" w:hAnsi="Calibri"/>
          <w:b/>
          <w:bCs/>
          <w:color w:val="1F3B5C"/>
          <w:sz w:val="28"/>
          <w:szCs w:val="28"/>
        </w:rPr>
        <w:t xml:space="preserve">14.  AI Usage and Verification</w:t>
      </w:r>
    </w:p>
    <w:p>
      <w:pPr>
        <w:spacing w:after="120" w:before="0" w:line="264"/>
      </w:pPr>
      <w:r>
        <w:rPr>
          <w:rFonts w:ascii="Calibri" w:cs="Calibri" w:eastAsia="Calibri" w:hAnsi="Calibri"/>
          <w:color w:val="22303F"/>
          <w:sz w:val="21"/>
          <w:szCs w:val="21"/>
        </w:rPr>
        <w:t xml:space="preserve">AI is used as an engineering assistant. It is not authoritative evidence and does not transfer accountability away from the team, and the statement that AI generated something is never an acceptable engineering defence (Master Brief, s10).</w:t>
      </w:r>
    </w:p>
    <w:p>
      <w:pPr>
        <w:pStyle w:val="Heading2"/>
        <w:spacing w:after="95" w:before="230"/>
      </w:pPr>
      <w:r>
        <w:rPr>
          <w:rFonts w:ascii="Calibri" w:cs="Calibri" w:eastAsia="Calibri" w:hAnsi="Calibri"/>
          <w:b/>
          <w:bCs/>
          <w:color w:val="1F3B5C"/>
          <w:sz w:val="23"/>
          <w:szCs w:val="23"/>
        </w:rPr>
        <w:t xml:space="preserve">14.1  Controls the team applies</w:t>
      </w:r>
    </w:p>
    <w:p>
      <w:pPr>
        <w:spacing w:after="85" w:line="264"/>
        <w:ind w:left="420" w:hanging="420"/>
      </w:pPr>
      <w:r>
        <w:rPr>
          <w:rFonts w:ascii="Calibri" w:cs="Calibri" w:eastAsia="Calibri" w:hAnsi="Calibri"/>
          <w:b/>
          <w:bCs/>
          <w:color w:val="22303F"/>
          <w:sz w:val="20"/>
          <w:szCs w:val="20"/>
        </w:rPr>
        <w:t xml:space="preserve">1.</w:t>
      </w:r>
      <w:r>
        <w:rPr>
          <w:rFonts w:ascii="Calibri" w:cs="Calibri" w:eastAsia="Calibri" w:hAnsi="Calibri"/>
          <w:color w:val="22303F"/>
          <w:sz w:val="20"/>
          <w:szCs w:val="20"/>
        </w:rPr>
        <w:t xml:space="preserve">  Material AI contributions are recorded in the AI Usage Register at the time the work is done, not reconstructed before assessment.</w:t>
      </w:r>
    </w:p>
    <w:p>
      <w:pPr>
        <w:spacing w:after="85" w:line="264"/>
        <w:ind w:left="420" w:hanging="420"/>
      </w:pPr>
      <w:r>
        <w:rPr>
          <w:rFonts w:ascii="Calibri" w:cs="Calibri" w:eastAsia="Calibri" w:hAnsi="Calibri"/>
          <w:b/>
          <w:bCs/>
          <w:color w:val="22303F"/>
          <w:sz w:val="20"/>
          <w:szCs w:val="20"/>
        </w:rPr>
        <w:t xml:space="preserve">2.</w:t>
      </w:r>
      <w:r>
        <w:rPr>
          <w:rFonts w:ascii="Calibri" w:cs="Calibri" w:eastAsia="Calibri" w:hAnsi="Calibri"/>
          <w:color w:val="22303F"/>
          <w:sz w:val="20"/>
          <w:szCs w:val="20"/>
        </w:rPr>
        <w:t xml:space="preserve">  No member approves AI-assisted work they cannot explain without the assistant. Anything that fails that test is rewritten or rejected.</w:t>
      </w:r>
    </w:p>
    <w:p>
      <w:pPr>
        <w:spacing w:after="85" w:line="264"/>
        <w:ind w:left="420" w:hanging="420"/>
      </w:pPr>
      <w:r>
        <w:rPr>
          <w:rFonts w:ascii="Calibri" w:cs="Calibri" w:eastAsia="Calibri" w:hAnsi="Calibri"/>
          <w:b/>
          <w:bCs/>
          <w:color w:val="22303F"/>
          <w:sz w:val="20"/>
          <w:szCs w:val="20"/>
        </w:rPr>
        <w:t xml:space="preserve">3.</w:t>
      </w:r>
      <w:r>
        <w:rPr>
          <w:rFonts w:ascii="Calibri" w:cs="Calibri" w:eastAsia="Calibri" w:hAnsi="Calibri"/>
          <w:color w:val="22303F"/>
          <w:sz w:val="20"/>
          <w:szCs w:val="20"/>
        </w:rPr>
        <w:t xml:space="preserve">  AI-assisted work carries the same branch, Pull Request, review and test controls as any other change.</w:t>
      </w:r>
    </w:p>
    <w:p>
      <w:pPr>
        <w:spacing w:after="85" w:line="264"/>
        <w:ind w:left="420" w:hanging="420"/>
      </w:pPr>
      <w:r>
        <w:rPr>
          <w:rFonts w:ascii="Calibri" w:cs="Calibri" w:eastAsia="Calibri" w:hAnsi="Calibri"/>
          <w:b/>
          <w:bCs/>
          <w:color w:val="22303F"/>
          <w:sz w:val="20"/>
          <w:szCs w:val="20"/>
        </w:rPr>
        <w:t xml:space="preserve">4.</w:t>
      </w:r>
      <w:r>
        <w:rPr>
          <w:rFonts w:ascii="Calibri" w:cs="Calibri" w:eastAsia="Calibri" w:hAnsi="Calibri"/>
          <w:color w:val="22303F"/>
          <w:sz w:val="20"/>
          <w:szCs w:val="20"/>
        </w:rPr>
        <w:t xml:space="preserve">  Important AI claims are verified against credible sources or technical tests. A citation supports why a practice matters; it never proves the team implemented a control correctly, which requires project evidence (M1 brief, s9.1).</w:t>
      </w:r>
    </w:p>
    <w:p>
      <w:pPr>
        <w:spacing w:after="85" w:line="264"/>
        <w:ind w:left="420" w:hanging="420"/>
      </w:pPr>
      <w:r>
        <w:rPr>
          <w:rFonts w:ascii="Calibri" w:cs="Calibri" w:eastAsia="Calibri" w:hAnsi="Calibri"/>
          <w:b/>
          <w:bCs/>
          <w:color w:val="22303F"/>
          <w:sz w:val="20"/>
          <w:szCs w:val="20"/>
        </w:rPr>
        <w:t xml:space="preserve">5.</w:t>
      </w:r>
      <w:r>
        <w:rPr>
          <w:rFonts w:ascii="Calibri" w:cs="Calibri" w:eastAsia="Calibri" w:hAnsi="Calibri"/>
          <w:color w:val="22303F"/>
          <w:sz w:val="20"/>
          <w:szCs w:val="20"/>
        </w:rPr>
        <w:t xml:space="preserve">  No credentials, confidential material or personal data belonging to the organisation are exposed to external AI systems.</w:t>
      </w:r>
    </w:p>
    <w:p>
      <w:pPr>
        <w:spacing w:after="140"/>
      </w:pPr>
    </w:p>
    <w:p>
      <w:pPr>
        <w:pStyle w:val="Heading2"/>
        <w:spacing w:after="95" w:before="230"/>
      </w:pPr>
      <w:r>
        <w:rPr>
          <w:rFonts w:ascii="Calibri" w:cs="Calibri" w:eastAsia="Calibri" w:hAnsi="Calibri"/>
          <w:b/>
          <w:bCs/>
          <w:color w:val="1F3B5C"/>
          <w:sz w:val="23"/>
          <w:szCs w:val="23"/>
        </w:rPr>
        <w:t xml:space="preserve">14.2  AI Usage Register</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400"/>
      </w:tblGrid>
      <w:tr>
        <w:tc>
          <w:tcPr>
            <w:tcW w:type="dxa" w:w="9400"/>
            <w:tcBorders>
              <w:top w:val="single" w:color="FDF6E6" w:sz="4"/>
              <w:left w:val="single" w:color="1F3B5C" w:sz="18"/>
              <w:bottom w:val="single" w:color="FDF6E6" w:sz="4"/>
              <w:right w:val="single" w:color="FDF6E6" w:sz="4"/>
            </w:tcBorders>
            <w:shd w:fill="FDF6E6" w:color="auto" w:val="clear"/>
            <w:tcMar>
              <w:top w:type="dxa" w:w="125"/>
              <w:left w:type="dxa" w:w="155"/>
              <w:bottom w:type="dxa" w:w="125"/>
              <w:right w:type="dxa" w:w="155"/>
            </w:tcMar>
          </w:tcPr>
          <w:p>
            <w:pPr>
              <w:spacing w:after="60" w:before="0" w:line="264"/>
            </w:pPr>
            <w:r>
              <w:rPr>
                <w:rFonts w:ascii="Calibri" w:cs="Calibri" w:eastAsia="Calibri" w:hAnsi="Calibri"/>
                <w:b/>
                <w:bCs/>
                <w:color w:val="1F3B5C"/>
                <w:sz w:val="21"/>
                <w:szCs w:val="21"/>
              </w:rPr>
              <w:t xml:space="preserve">This register is incomplete by design</w:t>
            </w:r>
          </w:p>
          <w:p>
            <w:pPr>
              <w:spacing w:after="0" w:before="0" w:line="264"/>
            </w:pPr>
            <w:r>
              <w:rPr>
                <w:rFonts w:ascii="Calibri" w:cs="Calibri" w:eastAsia="Calibri" w:hAnsi="Calibri"/>
                <w:color w:val="22303F"/>
                <w:sz w:val="20"/>
                <w:szCs w:val="20"/>
              </w:rPr>
              <w:t xml:space="preserve">The rows below show the expected format and the standard of verification required. </w:t>
            </w:r>
            <w:r>
              <w:rPr>
                <w:rFonts w:ascii="Calibri" w:cs="Calibri" w:eastAsia="Calibri" w:hAnsi="Calibri"/>
                <w:b/>
                <w:bCs/>
                <w:color w:val="22303F"/>
                <w:sz w:val="20"/>
                <w:szCs w:val="20"/>
              </w:rPr>
              <w:t xml:space="preserve">They are placeholders.</w:t>
            </w:r>
            <w:r>
              <w:rPr>
                <w:rFonts w:ascii="Calibri" w:cs="Calibri" w:eastAsia="Calibri" w:hAnsi="Calibri"/>
                <w:color w:val="22303F"/>
                <w:sz w:val="20"/>
                <w:szCs w:val="20"/>
              </w:rPr>
              <w:t xml:space="preserve"> Each member must record their own actual AI-assisted work, with their own name, and must delete or rewrite any row that does not describe something they personally did. A register that does not match the team's real process is worse than no register.</w:t>
            </w:r>
          </w:p>
        </w:tc>
      </w:tr>
    </w:tbl>
    <w:p>
      <w:pPr>
        <w:spacing w:after="140"/>
      </w:pP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900"/>
        <w:gridCol w:w="1000"/>
        <w:gridCol w:w="1100"/>
        <w:gridCol w:w="1700"/>
        <w:gridCol w:w="1400"/>
        <w:gridCol w:w="1900"/>
        <w:gridCol w:w="1000"/>
        <w:gridCol w:w="1400"/>
      </w:tblGrid>
      <w:tr>
        <w:trPr>
          <w:tblHeader/>
        </w:trPr>
        <w:tc>
          <w:tcPr>
            <w:tcW w:type="dxa" w:w="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Date</w:t>
            </w:r>
          </w:p>
        </w:tc>
        <w:tc>
          <w:tcPr>
            <w:tcW w:type="dxa" w:w="10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Student</w:t>
            </w:r>
          </w:p>
        </w:tc>
        <w:tc>
          <w:tcPr>
            <w:tcW w:type="dxa" w:w="1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Tool</w:t>
            </w:r>
          </w:p>
        </w:tc>
        <w:tc>
          <w:tcPr>
            <w:tcW w:type="dxa" w:w="17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Engineering task</w:t>
            </w:r>
          </w:p>
        </w:tc>
        <w:tc>
          <w:tcPr>
            <w:tcW w:type="dxa" w:w="14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AI contribution</w:t>
            </w:r>
          </w:p>
        </w:tc>
        <w:tc>
          <w:tcPr>
            <w:tcW w:type="dxa" w:w="1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Verification performed</w:t>
            </w:r>
          </w:p>
        </w:tc>
        <w:tc>
          <w:tcPr>
            <w:tcW w:type="dxa" w:w="10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Decision</w:t>
            </w:r>
          </w:p>
        </w:tc>
        <w:tc>
          <w:tcPr>
            <w:tcW w:type="dxa" w:w="14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Issues found</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3 September 2026</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Jean Smit</w:t>
            </w:r>
          </w:p>
        </w:tc>
        <w:tc>
          <w:tcPr>
            <w:tcW w:type="dxa" w:w="1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Claude (Anthropic) - conversational assistant</w:t>
            </w:r>
          </w:p>
        </w:tc>
        <w:tc>
          <w:tcPr>
            <w:tcW w:type="dxa" w:w="1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Drafting PED v1.0 and the M1 registers workbook: functional and non-functional requirements with acceptance criteria, RTM, Risk Register, Forward Engineering Considerations and Decision Log.</w:t>
            </w:r>
          </w:p>
        </w:tc>
        <w:tc>
          <w:tcPr>
            <w:tcW w:type="dxa" w:w="1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Proposed the document and register structure, candidate FR and NFR wording with acceptance criteria, candidate risk and forward-consideration entries, and the two PED figures.</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Every requirement checked against Master Brief s11 for a unique identifier, a named source, a priority and testable wording, and each acceptance criterion checked to be objectively verifiable. Forward Engineering Considerations checked to be CivicConnect-specific and anchored to named FR, NFR and CON identifiers rather than a generic lifecycle list. RTM columns H to L were left as Pending M2 and Pending M3 rather than populated, since no design, implementation or test evidence exists at M1.</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Accepted after revision</w:t>
            </w:r>
          </w:p>
        </w:tc>
        <w:tc>
          <w:tcPr>
            <w:tcW w:type="dxa" w:w="1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Draft Decision Log entries that pre-selected a technology stack, an architecture style and a deployment platform were rejected as outside the M1 boundary (M1 brief s5) and re-recorded as deliberately deferred decisions DEC-008 to DEC-011, each stating the evidence still required before the decision can be taken.</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[Date]</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[Member 2]</w:t>
            </w:r>
          </w:p>
        </w:tc>
        <w:tc>
          <w:tcPr>
            <w:tcW w:type="dxa" w:w="1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[Tool and version]</w:t>
            </w:r>
          </w:p>
        </w:tc>
        <w:tc>
          <w:tcPr>
            <w:tcW w:type="dxa" w:w="1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Reviewing the risk register for gaps</w:t>
            </w:r>
          </w:p>
        </w:tc>
        <w:tc>
          <w:tcPr>
            <w:tcW w:type="dxa" w:w="1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Suggested additional risk candidates</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Each candidate assessed against the actual project constraints in PED s7; generic entries with no CivicConnect-specific cause were rejected.</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Partially accepted</w:t>
            </w:r>
          </w:p>
        </w:tc>
        <w:tc>
          <w:tcPr>
            <w:tcW w:type="dxa" w:w="1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[Record which suggestions were rejected and why]</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[Date]</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Darius Mushi</w:t>
            </w:r>
          </w:p>
        </w:tc>
        <w:tc>
          <w:tcPr>
            <w:tcW w:type="dxa" w:w="1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[Tool and version]</w:t>
            </w:r>
          </w:p>
        </w:tc>
        <w:tc>
          <w:tcPr>
            <w:tcW w:type="dxa" w:w="1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[Task]</w:t>
            </w:r>
          </w:p>
        </w:tc>
        <w:tc>
          <w:tcPr>
            <w:tcW w:type="dxa" w:w="1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[Contribution]</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[How you verified it independently]</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[Accepted / Rejected / Accepted after revision]</w:t>
            </w:r>
          </w:p>
        </w:tc>
        <w:tc>
          <w:tcPr>
            <w:tcW w:type="dxa" w:w="1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[What was wrong]</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3 September 2026</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Jean Smit</w:t>
            </w:r>
          </w:p>
        </w:tc>
        <w:tc>
          <w:tcPr>
            <w:tcW w:type="dxa" w:w="1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Claude (Anthropic) - conversational assistant</w:t>
            </w:r>
          </w:p>
        </w:tc>
        <w:tc>
          <w:tcPr>
            <w:tcW w:type="dxa" w:w="1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Structuring and formatting of PED v1.0 and the registers workbook, and the later repair of the document layout.</w:t>
            </w:r>
          </w:p>
        </w:tc>
        <w:tc>
          <w:tcPr>
            <w:tcW w:type="dxa" w:w="1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Proposed the section architecture and numbering, the column sets and table layouts for each register sheet, and the document and workbook styling. Later re-oriented three sections to landscape and scaled five over-wide tables to the page.</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Section structure checked against the twelve required M1 outputs (M1 brief s3) and against the PED quality standard (Master Brief s6.1), to confirm that each required output has a home and a stable identifier scheme. The layout repair was verified by exporting the document to PDF and confirming that no table or figure exceeds the usable width of the section it sits in.</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Accepted after revision</w:t>
            </w:r>
          </w:p>
        </w:tc>
        <w:tc>
          <w:tcPr>
            <w:tcW w:type="dxa" w:w="1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Seven items overflowed the page and were cut off in the rendered document: the RTM, the Decision Log, the Risk Register, both figures, the version history table and the AI Usage Register. The RTM and both figures had been placed in portrait sections despite being sized for landscape, so scaling alone would not have made them readable.</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3 September 2026</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Jean Smit</w:t>
            </w:r>
          </w:p>
        </w:tc>
        <w:tc>
          <w:tcPr>
            <w:tcW w:type="dxa" w:w="1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Claude (Anthropic) - conversational assistant. Figures produced programmatically as SVG from a Python script and rendered to PNG; no diagramming application was used.</w:t>
            </w:r>
          </w:p>
        </w:tc>
        <w:tc>
          <w:tcPr>
            <w:tcW w:type="dxa" w:w="1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Producing Figure 1, the Forward Engineering Considerations map, and Figure 2, the request status model.</w:t>
            </w:r>
          </w:p>
        </w:tc>
        <w:tc>
          <w:tcPr>
            <w:tcW w:type="dxa" w:w="1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Generated the SVG source, including the lifecycle columns, the marker positions for each concern and the decision each concern gates.</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Figure 1 checked against s11 and the Decision Log concern by concern: the opened-in-M1 marker, the decision or implementation window, the peak-consequence point and the gated decision for all seven concerns. Figure 2 checked against the twelve rows of the baselined status model, transition by transition, including the authorised role and the guard condition on each.</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Accepted after revision</w:t>
            </w:r>
          </w:p>
        </w:tc>
        <w:tc>
          <w:tcPr>
            <w:tcW w:type="dxa" w:w="1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The first attempt was rejected because it was not vector source that could be regenerated: the initial figure was a canvas rendering rather than SVG. It was redone as SVG generated from a Python script and rendered to PNG, so a marker can be moved by editing the source and re-rendering rather than by redrawing the image. Two discrepancies were then found on checking and are recorded rather than silently corrected. (1) Figure 1 names one gated decision per concern, but the Decision Log records FEC-01 and FEC-06 as gating DEC-009 as well as DEC-011, since DEC-009 requires the record-level authorisation shape from FEC-01 and the reporting load position from FEC-06; the figure understates those two rows by one decision. The Forward Considerations sheet also cites DEC-010 in the Links column for FEC-03 and FEC-05 but cites no decision for FEC-01 or FEC-06, so that link is recorded in the Decision Log only. (2) In Figure 2 the single New to In Progress arc carries two stacked labels while the Assigned self-loop carries none, so 'reassign to a different staff member' reads as belonging to the wrong transition. All twelve transitions, their directions, authorised roles and guard conditions are otherwise correct.</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8 September 2026</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Jean Smit</w:t>
            </w:r>
          </w:p>
        </w:tc>
        <w:tc>
          <w:tcPr>
            <w:tcW w:type="dxa" w:w="1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Claude Code (Anthropic)</w:t>
            </w:r>
          </w:p>
        </w:tc>
        <w:tc>
          <w:tcPr>
            <w:tcW w:type="dxa" w:w="1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M1 close-out: auditing the baseline and its repository evidence against the briefs, and drafting the AI Usage Register entries and the GitHub Governance evidence column.</w:t>
            </w:r>
          </w:p>
        </w:tc>
        <w:tc>
          <w:tcPr>
            <w:tcW w:type="dxa" w:w="1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Audited the repository, git history and GitHub controls against Master Brief s9 and M1 brief s3, and drafted the register entries and the evidence references.</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Every governance claim was checked against the live repository rather than asserted. Ruleset 22248862 was read back from the GitHub API to confirm two required approvals, stale-review dismissal, linear history and an empty bypass list; secret scanning and push protection were confirmed enabled; collaborator and invitation state was confirmed directly.</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Accepted after revision</w:t>
            </w:r>
          </w:p>
        </w:tc>
        <w:tc>
          <w:tcPr>
            <w:tcW w:type="dxa" w:w="1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Draft evidence cells initially cited the branch-protection settings as configured. These were rewritten to cite the ruleset read back from the API, because a claim that a control exists is not evidence that it operates. Two cells were left deliberately unfilled rather than pointed at an empty Pull Request list.</w:t>
            </w:r>
          </w:p>
        </w:tc>
      </w:tr>
    </w:tbl>
    <w:p>
      <w:pPr>
        <w:pageBreakBefore/>
      </w:pPr>
    </w:p>
    <w:p>
      <w:pPr>
        <w:pStyle w:val="Heading1"/>
        <w:pBdr>
          <w:bottom w:val="single" w:color="1F3B5C" w:sz="8" w:space="4"/>
        </w:pBdr>
        <w:spacing w:after="130" w:before="300"/>
      </w:pPr>
      <w:r>
        <w:rPr>
          <w:rFonts w:ascii="Calibri" w:cs="Calibri" w:eastAsia="Calibri" w:hAnsi="Calibri"/>
          <w:b/>
          <w:bCs/>
          <w:color w:val="1F3B5C"/>
          <w:sz w:val="28"/>
          <w:szCs w:val="28"/>
        </w:rPr>
        <w:t xml:space="preserve">15.  Initial Deployment and Operational Considerations</w:t>
      </w:r>
    </w:p>
    <w:p>
      <w:pPr>
        <w:spacing w:after="120" w:before="0" w:line="264"/>
      </w:pPr>
      <w:r>
        <w:rPr>
          <w:rFonts w:ascii="Calibri" w:cs="Calibri" w:eastAsia="Calibri" w:hAnsi="Calibri"/>
          <w:color w:val="22303F"/>
          <w:sz w:val="21"/>
          <w:szCs w:val="21"/>
        </w:rPr>
        <w:t xml:space="preserve">No deployment decision is taken in M1. What follows is the set of considerations already known to constrain the M2 platform decision, recorded so that the decision is made against criteria rather than convenience (Master Brief, s17).</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100"/>
        <w:gridCol w:w="7300"/>
      </w:tblGrid>
      <w:tr>
        <w:trPr>
          <w:tblHeader/>
        </w:trPr>
        <w:tc>
          <w:tcPr>
            <w:tcW w:type="dxa" w:w="2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Consideration</w:t>
            </w:r>
          </w:p>
        </w:tc>
        <w:tc>
          <w:tcPr>
            <w:tcW w:type="dxa" w:w="73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Position at M1</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Environments</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Development, test, staging and production are treated as distinct. Success in one does not evidence success in another, which is why NFR-003 and NFR-001 are measured on the target environment rather than on a developer machine.</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Environment parity</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Recorded as FEC-05. Free-tier hosting differs from a developer machine in runtime version, filesystem persistence, cold-start behaviour and network egress. Parity is a platform selection criterion in DEC-010, not a discovery for M3.</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Configuration and secrets</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Environment-specific values are held in configuration, never in code, from the first commit. No credential, key or token enters the repository (NFR-007, RSK-11). A configuration template with placeholder values is committed; the real values are not.</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Release and rollback</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Deployment and release are distinct. How release approval occurs, and whether a previous release can be restored quickly, are criteria in DEC-010. Rollback is considered before production release, not after an incident.</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Observability</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availability measurement in NFR-003 requires a health endpoint and an external probe. That is the minimum operational instrumentation the baseline already commits to; broader logging and monitoring design belongs to M3.</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Data residency and retention</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POPIA obligations make hosting region and retention period real constraints rather than defaults (CON-05, NFR-008). Both are recorded as information still required in DEC-010 and FEC-04.</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Operational cost</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NFR-013 requires the free-tier limits and the projected cost beyond the educational context to be documented. An unsupported claim that a platform is free is not acceptable (Master Brief, s23).</w:t>
            </w:r>
          </w:p>
        </w:tc>
      </w:tr>
    </w:tbl>
    <w:p>
      <w:pPr>
        <w:pageBreakBefore/>
      </w:pPr>
    </w:p>
    <w:p>
      <w:pPr>
        <w:pStyle w:val="Heading1"/>
        <w:pBdr>
          <w:bottom w:val="single" w:color="1F3B5C" w:sz="8" w:space="4"/>
        </w:pBdr>
        <w:spacing w:after="130" w:before="300"/>
      </w:pPr>
      <w:r>
        <w:rPr>
          <w:rFonts w:ascii="Calibri" w:cs="Calibri" w:eastAsia="Calibri" w:hAnsi="Calibri"/>
          <w:b/>
          <w:bCs/>
          <w:color w:val="1F3B5C"/>
          <w:sz w:val="28"/>
          <w:szCs w:val="28"/>
        </w:rPr>
        <w:t xml:space="preserve">16.  Baseline Sign-off and Gate Decision</w:t>
      </w:r>
    </w:p>
    <w:p>
      <w:pPr>
        <w:spacing w:after="120" w:before="0" w:line="264"/>
      </w:pPr>
      <w:r>
        <w:rPr>
          <w:rFonts w:ascii="Calibri" w:cs="Calibri" w:eastAsia="Calibri" w:hAnsi="Calibri"/>
          <w:color w:val="22303F"/>
          <w:sz w:val="21"/>
          <w:szCs w:val="21"/>
        </w:rPr>
        <w:t xml:space="preserve">PED v1.0 becomes the controlled engineering baseline when this sign-off is completed by all three members at the M1 gate review. After sign-off, baselined content changes only through s12.4.</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Field</w:t>
            </w:r>
          </w:p>
        </w:tc>
        <w:tc>
          <w:tcPr>
            <w:tcW w:type="dxa" w:w="60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Value</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Project</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CivicConnect - Community Service Request Management Platform</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Baseline type</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Engineering Foundation and Requirements Baseline</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Document</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PED v1.0</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Version</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1.0</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Date</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[Insert date]</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Scope reviewed</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YES / NO</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Requirements and traceability checked</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YES / NO</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Risk review completed</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YES / NO</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Repository and governance controls checked</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YES / NO</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Forward Engineering Considerations reviewed</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YES / NO</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AI Usage Register current and verified</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YES / NO</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Outcome</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ACCEPTED / CONDITIONALLY ACCEPTED / REVISION REQUIRED</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Conditions recorded (if any)</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[Insert]</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Team approval - [Member 1]</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Signature / date</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Team approval - [Member 2]</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Signature / date</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Team approval - [Member 3]</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Signature / date</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Assessor / client gate decision</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[Insert]</w:t>
            </w:r>
          </w:p>
        </w:tc>
      </w:tr>
    </w:tbl>
    <w:p>
      <w:pPr>
        <w:spacing w:after="20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400"/>
      </w:tblGrid>
      <w:tr>
        <w:tc>
          <w:tcPr>
            <w:tcW w:type="dxa" w:w="9400"/>
            <w:tcBorders>
              <w:top w:val="single" w:color="EAF1F6" w:sz="4"/>
              <w:left w:val="single" w:color="1F3B5C" w:sz="18"/>
              <w:bottom w:val="single" w:color="EAF1F6" w:sz="4"/>
              <w:right w:val="single" w:color="EAF1F6" w:sz="4"/>
            </w:tcBorders>
            <w:shd w:fill="EAF1F6" w:color="auto" w:val="clear"/>
            <w:tcMar>
              <w:top w:type="dxa" w:w="125"/>
              <w:left w:type="dxa" w:w="155"/>
              <w:bottom w:type="dxa" w:w="125"/>
              <w:right w:type="dxa" w:w="155"/>
            </w:tcMar>
          </w:tcPr>
          <w:p>
            <w:pPr>
              <w:spacing w:after="60" w:before="0" w:line="264"/>
            </w:pPr>
            <w:r>
              <w:rPr>
                <w:rFonts w:ascii="Calibri" w:cs="Calibri" w:eastAsia="Calibri" w:hAnsi="Calibri"/>
                <w:b/>
                <w:bCs/>
                <w:color w:val="1F3B5C"/>
                <w:sz w:val="21"/>
                <w:szCs w:val="21"/>
              </w:rPr>
              <w:t xml:space="preserve">Gate outcomes (M1 brief, s9)</w:t>
            </w:r>
          </w:p>
          <w:p>
            <w:pPr>
              <w:spacing w:after="55" w:before="0" w:line="264"/>
            </w:pPr>
            <w:r>
              <w:rPr>
                <w:rFonts w:ascii="Calibri" w:cs="Calibri" w:eastAsia="Calibri" w:hAnsi="Calibri"/>
                <w:b/>
                <w:bCs/>
                <w:color w:val="22303F"/>
                <w:sz w:val="20"/>
                <w:szCs w:val="20"/>
              </w:rPr>
              <w:t xml:space="preserve">ACCEPTED</w:t>
            </w:r>
            <w:r>
              <w:rPr>
                <w:rFonts w:ascii="Calibri" w:cs="Calibri" w:eastAsia="Calibri" w:hAnsi="Calibri"/>
                <w:color w:val="22303F"/>
                <w:sz w:val="20"/>
                <w:szCs w:val="20"/>
              </w:rPr>
              <w:t xml:space="preserve"> - PED v1.0 provides a sufficiently controlled foundation for the next project phase.</w:t>
            </w:r>
          </w:p>
          <w:p>
            <w:pPr>
              <w:spacing w:after="55" w:before="0" w:line="264"/>
            </w:pPr>
            <w:r>
              <w:rPr>
                <w:rFonts w:ascii="Calibri" w:cs="Calibri" w:eastAsia="Calibri" w:hAnsi="Calibri"/>
                <w:b/>
                <w:bCs/>
                <w:color w:val="22303F"/>
                <w:sz w:val="20"/>
                <w:szCs w:val="20"/>
              </w:rPr>
              <w:t xml:space="preserve">CONDITIONALLY ACCEPTED</w:t>
            </w:r>
            <w:r>
              <w:rPr>
                <w:rFonts w:ascii="Calibri" w:cs="Calibri" w:eastAsia="Calibri" w:hAnsi="Calibri"/>
                <w:color w:val="22303F"/>
                <w:sz w:val="20"/>
                <w:szCs w:val="20"/>
              </w:rPr>
              <w:t xml:space="preserve"> - minor corrections or conditions are recorded; the team may proceed subject to those conditions.</w:t>
            </w:r>
          </w:p>
          <w:p>
            <w:pPr>
              <w:spacing w:after="0" w:before="0" w:line="264"/>
            </w:pPr>
            <w:r>
              <w:rPr>
                <w:rFonts w:ascii="Calibri" w:cs="Calibri" w:eastAsia="Calibri" w:hAnsi="Calibri"/>
                <w:b/>
                <w:bCs/>
                <w:color w:val="22303F"/>
                <w:sz w:val="20"/>
                <w:szCs w:val="20"/>
              </w:rPr>
              <w:t xml:space="preserve">REVISION REQUIRED</w:t>
            </w:r>
            <w:r>
              <w:rPr>
                <w:rFonts w:ascii="Calibri" w:cs="Calibri" w:eastAsia="Calibri" w:hAnsi="Calibri"/>
                <w:color w:val="22303F"/>
                <w:sz w:val="20"/>
                <w:szCs w:val="20"/>
              </w:rPr>
              <w:t xml:space="preserve"> - the foundation is not sufficiently controlled to justify consequential architecture or design decisions.</w:t>
            </w:r>
          </w:p>
        </w:tc>
      </w:tr>
    </w:tbl>
    <w:p>
      <w:pPr>
        <w:spacing w:after="180"/>
      </w:pPr>
    </w:p>
    <w:p>
      <w:pPr>
        <w:pStyle w:val="Heading2"/>
        <w:spacing w:after="95" w:before="230"/>
      </w:pPr>
      <w:r>
        <w:rPr>
          <w:rFonts w:ascii="Calibri" w:cs="Calibri" w:eastAsia="Calibri" w:hAnsi="Calibri"/>
          <w:b/>
          <w:bCs/>
          <w:color w:val="1F3B5C"/>
          <w:sz w:val="23"/>
          <w:szCs w:val="23"/>
        </w:rPr>
        <w:t xml:space="preserve">16.1  Known limitations of this baseline</w:t>
      </w:r>
    </w:p>
    <w:p>
      <w:pPr>
        <w:spacing w:after="120" w:before="0" w:line="264"/>
      </w:pPr>
      <w:r>
        <w:rPr>
          <w:rFonts w:ascii="Calibri" w:cs="Calibri" w:eastAsia="Calibri" w:hAnsi="Calibri"/>
          <w:color w:val="22303F"/>
          <w:sz w:val="21"/>
          <w:szCs w:val="21"/>
        </w:rPr>
        <w:t xml:space="preserve">Stated deliberately, because professional honesty about limitations and residual risk is valued above unsupported claims of completeness (Master Brief, s23).</w:t>
      </w:r>
    </w:p>
    <w:p>
      <w:pPr>
        <w:spacing w:after="85" w:line="264"/>
        <w:ind w:left="420" w:hanging="420"/>
      </w:pPr>
      <w:r>
        <w:rPr>
          <w:rFonts w:ascii="Calibri" w:cs="Calibri" w:eastAsia="Calibri" w:hAnsi="Calibri"/>
          <w:b/>
          <w:bCs/>
          <w:color w:val="22303F"/>
          <w:sz w:val="20"/>
          <w:szCs w:val="20"/>
        </w:rPr>
        <w:t xml:space="preserve">1.</w:t>
      </w:r>
      <w:r>
        <w:rPr>
          <w:rFonts w:ascii="Calibri" w:cs="Calibri" w:eastAsia="Calibri" w:hAnsi="Calibri"/>
          <w:color w:val="22303F"/>
          <w:sz w:val="20"/>
          <w:szCs w:val="20"/>
        </w:rPr>
        <w:t xml:space="preserve">  Several NFR targets rest on assumptions the organisation has not yet confirmed: expected request volume, the response target that defines overdue, and the retention period. These are recorded as information still required in FEC-02, FEC-04 and FEC-06 rather than invented.</w:t>
      </w:r>
    </w:p>
    <w:p>
      <w:pPr>
        <w:spacing w:after="85" w:line="264"/>
        <w:ind w:left="420" w:hanging="420"/>
      </w:pPr>
      <w:r>
        <w:rPr>
          <w:rFonts w:ascii="Calibri" w:cs="Calibri" w:eastAsia="Calibri" w:hAnsi="Calibri"/>
          <w:b/>
          <w:bCs/>
          <w:color w:val="22303F"/>
          <w:sz w:val="20"/>
          <w:szCs w:val="20"/>
        </w:rPr>
        <w:t xml:space="preserve">2.</w:t>
      </w:r>
      <w:r>
        <w:rPr>
          <w:rFonts w:ascii="Calibri" w:cs="Calibri" w:eastAsia="Calibri" w:hAnsi="Calibri"/>
          <w:color w:val="22303F"/>
          <w:sz w:val="20"/>
          <w:szCs w:val="20"/>
        </w:rPr>
        <w:t xml:space="preserve">  NFR-003 states an availability target against a platform not yet chosen. It is a commitment the team may have to revise through change control once DEC-010 is taken, and RSK-02 records that.</w:t>
      </w:r>
    </w:p>
    <w:p>
      <w:pPr>
        <w:spacing w:after="85" w:line="264"/>
        <w:ind w:left="420" w:hanging="420"/>
      </w:pPr>
      <w:r>
        <w:rPr>
          <w:rFonts w:ascii="Calibri" w:cs="Calibri" w:eastAsia="Calibri" w:hAnsi="Calibri"/>
          <w:b/>
          <w:bCs/>
          <w:color w:val="22303F"/>
          <w:sz w:val="20"/>
          <w:szCs w:val="20"/>
        </w:rPr>
        <w:t xml:space="preserve">3.</w:t>
      </w:r>
      <w:r>
        <w:rPr>
          <w:rFonts w:ascii="Calibri" w:cs="Calibri" w:eastAsia="Calibri" w:hAnsi="Calibri"/>
          <w:color w:val="22303F"/>
          <w:sz w:val="20"/>
          <w:szCs w:val="20"/>
        </w:rPr>
        <w:t xml:space="preserve">  The requester notification need is only partially met. In-application indication (FR-029) is weaker than the stated need, and whether the deferred channel can be reinstated depends on FEC-03.</w:t>
      </w:r>
    </w:p>
    <w:p>
      <w:pPr>
        <w:spacing w:after="85" w:line="264"/>
        <w:ind w:left="420" w:hanging="420"/>
      </w:pPr>
      <w:r>
        <w:rPr>
          <w:rFonts w:ascii="Calibri" w:cs="Calibri" w:eastAsia="Calibri" w:hAnsi="Calibri"/>
          <w:b/>
          <w:bCs/>
          <w:color w:val="22303F"/>
          <w:sz w:val="20"/>
          <w:szCs w:val="20"/>
        </w:rPr>
        <w:t xml:space="preserve">4.</w:t>
      </w:r>
      <w:r>
        <w:rPr>
          <w:rFonts w:ascii="Calibri" w:cs="Calibri" w:eastAsia="Calibri" w:hAnsi="Calibri"/>
          <w:color w:val="22303F"/>
          <w:sz w:val="20"/>
          <w:szCs w:val="20"/>
        </w:rPr>
        <w:t xml:space="preserve">  Stakeholder roles are held by a small number of real people in the organisation; the analysis in s5 is derived from the scenario in the Master Brief rather than from interviews the team conducted. Where an assumption stands in for a stakeholder statement, it is recorded as such.</w:t>
      </w:r>
    </w:p>
    <w:p>
      <w:pPr>
        <w:pageBreakBefore/>
      </w:pPr>
    </w:p>
    <w:p>
      <w:pPr>
        <w:pStyle w:val="Heading1"/>
        <w:pBdr>
          <w:bottom w:val="single" w:color="1F3B5C" w:sz="8" w:space="4"/>
        </w:pBdr>
        <w:spacing w:after="130" w:before="300"/>
      </w:pPr>
      <w:r>
        <w:rPr>
          <w:rFonts w:ascii="Calibri" w:cs="Calibri" w:eastAsia="Calibri" w:hAnsi="Calibri"/>
          <w:b/>
          <w:bCs/>
          <w:color w:val="1F3B5C"/>
          <w:sz w:val="28"/>
          <w:szCs w:val="28"/>
        </w:rPr>
        <w:t xml:space="preserve">17.  References</w:t>
      </w:r>
    </w:p>
    <w:p>
      <w:pPr>
        <w:spacing w:after="170" w:before="0" w:line="264"/>
      </w:pPr>
      <w:r>
        <w:rPr>
          <w:rFonts w:ascii="Calibri" w:cs="Calibri" w:eastAsia="Calibri" w:hAnsi="Calibri"/>
          <w:i/>
          <w:iCs/>
          <w:color w:val="5C6B7A"/>
          <w:sz w:val="19"/>
          <w:szCs w:val="19"/>
        </w:rPr>
        <w:t xml:space="preserve">Harvard style. Sources support why a practice, standard or concern is relevant; they do not evidence that the team implemented a control correctly, which requires project evidence (M1 brief, s9.1).</w:t>
      </w:r>
    </w:p>
    <w:p>
      <w:pPr>
        <w:spacing w:after="110" w:line="250"/>
        <w:ind w:left="480" w:hanging="480"/>
      </w:pPr>
      <w:r>
        <w:rPr>
          <w:rFonts w:ascii="Calibri" w:cs="Calibri" w:eastAsia="Calibri" w:hAnsi="Calibri"/>
          <w:color w:val="22303F"/>
          <w:sz w:val="19"/>
          <w:szCs w:val="19"/>
        </w:rPr>
        <w:t xml:space="preserve">Belgium Campus ITversity (2026a) </w:t>
      </w:r>
      <w:r>
        <w:rPr>
          <w:rFonts w:ascii="Calibri" w:cs="Calibri" w:eastAsia="Calibri" w:hAnsi="Calibri"/>
          <w:i/>
          <w:iCs/>
          <w:color w:val="22303F"/>
          <w:sz w:val="19"/>
          <w:szCs w:val="19"/>
        </w:rPr>
        <w:t xml:space="preserve">SEN381 CivicConnect Master Project Brief, version 1.1</w:t>
      </w:r>
      <w:r>
        <w:rPr>
          <w:rFonts w:ascii="Calibri" w:cs="Calibri" w:eastAsia="Calibri" w:hAnsi="Calibri"/>
          <w:color w:val="22303F"/>
          <w:sz w:val="19"/>
          <w:szCs w:val="19"/>
        </w:rPr>
        <w:t xml:space="preserve">. Software Engineering 381. Belgium Campus ITversity.</w:t>
      </w:r>
    </w:p>
    <w:p>
      <w:pPr>
        <w:spacing w:after="110" w:line="250"/>
        <w:ind w:left="480" w:hanging="480"/>
      </w:pPr>
      <w:r>
        <w:rPr>
          <w:rFonts w:ascii="Calibri" w:cs="Calibri" w:eastAsia="Calibri" w:hAnsi="Calibri"/>
          <w:color w:val="22303F"/>
          <w:sz w:val="19"/>
          <w:szCs w:val="19"/>
        </w:rPr>
        <w:t xml:space="preserve">Belgium Campus ITversity (2026b) </w:t>
      </w:r>
      <w:r>
        <w:rPr>
          <w:rFonts w:ascii="Calibri" w:cs="Calibri" w:eastAsia="Calibri" w:hAnsi="Calibri"/>
          <w:i/>
          <w:iCs/>
          <w:color w:val="22303F"/>
          <w:sz w:val="19"/>
          <w:szCs w:val="19"/>
        </w:rPr>
        <w:t xml:space="preserve">SEN381 CivicConnect Project Milestone 1: Engineering Foundation and Requirements Baseline</w:t>
      </w:r>
      <w:r>
        <w:rPr>
          <w:rFonts w:ascii="Calibri" w:cs="Calibri" w:eastAsia="Calibri" w:hAnsi="Calibri"/>
          <w:color w:val="22303F"/>
          <w:sz w:val="19"/>
          <w:szCs w:val="19"/>
        </w:rPr>
        <w:t xml:space="preserve">. Software Engineering 381. Belgium Campus ITversity.</w:t>
      </w:r>
    </w:p>
    <w:p>
      <w:pPr>
        <w:spacing w:after="110" w:line="250"/>
        <w:ind w:left="480" w:hanging="480"/>
      </w:pPr>
      <w:r>
        <w:rPr>
          <w:rFonts w:ascii="Calibri" w:cs="Calibri" w:eastAsia="Calibri" w:hAnsi="Calibri"/>
          <w:color w:val="22303F"/>
          <w:sz w:val="19"/>
          <w:szCs w:val="19"/>
        </w:rPr>
        <w:t xml:space="preserve">Boehm, B. and Basili, V.R. (2001) 'Software defect reduction top 10 list', </w:t>
      </w:r>
      <w:r>
        <w:rPr>
          <w:rFonts w:ascii="Calibri" w:cs="Calibri" w:eastAsia="Calibri" w:hAnsi="Calibri"/>
          <w:i/>
          <w:iCs/>
          <w:color w:val="22303F"/>
          <w:sz w:val="19"/>
          <w:szCs w:val="19"/>
        </w:rPr>
        <w:t xml:space="preserve">Computer</w:t>
      </w:r>
      <w:r>
        <w:rPr>
          <w:rFonts w:ascii="Calibri" w:cs="Calibri" w:eastAsia="Calibri" w:hAnsi="Calibri"/>
          <w:color w:val="22303F"/>
          <w:sz w:val="19"/>
          <w:szCs w:val="19"/>
        </w:rPr>
        <w:t xml:space="preserve">, 34(1), pp. 135-137. Available at: https://www.cs.umd.edu/projects/SoftEng/ESEG/papers/82.78.pdf</w:t>
      </w:r>
    </w:p>
    <w:p>
      <w:pPr>
        <w:spacing w:after="110" w:line="250"/>
        <w:ind w:left="480" w:hanging="480"/>
      </w:pPr>
      <w:r>
        <w:rPr>
          <w:rFonts w:ascii="Calibri" w:cs="Calibri" w:eastAsia="Calibri" w:hAnsi="Calibri"/>
          <w:color w:val="22303F"/>
          <w:sz w:val="19"/>
          <w:szCs w:val="19"/>
        </w:rPr>
        <w:t xml:space="preserve">DORA (2025) </w:t>
      </w:r>
      <w:r>
        <w:rPr>
          <w:rFonts w:ascii="Calibri" w:cs="Calibri" w:eastAsia="Calibri" w:hAnsi="Calibri"/>
          <w:i/>
          <w:iCs/>
          <w:color w:val="22303F"/>
          <w:sz w:val="19"/>
          <w:szCs w:val="19"/>
        </w:rPr>
        <w:t xml:space="preserve">State of AI-assisted Software Development</w:t>
      </w:r>
      <w:r>
        <w:rPr>
          <w:rFonts w:ascii="Calibri" w:cs="Calibri" w:eastAsia="Calibri" w:hAnsi="Calibri"/>
          <w:color w:val="22303F"/>
          <w:sz w:val="19"/>
          <w:szCs w:val="19"/>
        </w:rPr>
        <w:t xml:space="preserve">. Google Cloud, 23 September. Available at: https://cloud.google.com/blog/products/ai-machine-learning/announcing-the-2025-dora-report</w:t>
      </w:r>
    </w:p>
    <w:p>
      <w:pPr>
        <w:spacing w:after="110" w:line="250"/>
        <w:ind w:left="480" w:hanging="480"/>
      </w:pPr>
      <w:r>
        <w:rPr>
          <w:rFonts w:ascii="Calibri" w:cs="Calibri" w:eastAsia="Calibri" w:hAnsi="Calibri"/>
          <w:color w:val="22303F"/>
          <w:sz w:val="19"/>
          <w:szCs w:val="19"/>
        </w:rPr>
        <w:t xml:space="preserve">IEEE Computer Society (2024) </w:t>
      </w:r>
      <w:r>
        <w:rPr>
          <w:rFonts w:ascii="Calibri" w:cs="Calibri" w:eastAsia="Calibri" w:hAnsi="Calibri"/>
          <w:i/>
          <w:iCs/>
          <w:color w:val="22303F"/>
          <w:sz w:val="19"/>
          <w:szCs w:val="19"/>
        </w:rPr>
        <w:t xml:space="preserve">Guide to the Software Engineering Body of Knowledge (SWEBOK Guide), Version 4.0</w:t>
      </w:r>
      <w:r>
        <w:rPr>
          <w:rFonts w:ascii="Calibri" w:cs="Calibri" w:eastAsia="Calibri" w:hAnsi="Calibri"/>
          <w:color w:val="22303F"/>
          <w:sz w:val="19"/>
          <w:szCs w:val="19"/>
        </w:rPr>
        <w:t xml:space="preserve">. Available at: https://www.computer.org/education/bodies-of-knowledge/software-engineering</w:t>
      </w:r>
    </w:p>
    <w:p>
      <w:pPr>
        <w:spacing w:after="110" w:line="250"/>
        <w:ind w:left="480" w:hanging="480"/>
      </w:pPr>
      <w:r>
        <w:rPr>
          <w:rFonts w:ascii="Calibri" w:cs="Calibri" w:eastAsia="Calibri" w:hAnsi="Calibri"/>
          <w:color w:val="22303F"/>
          <w:sz w:val="19"/>
          <w:szCs w:val="19"/>
        </w:rPr>
        <w:t xml:space="preserve">ISO (2023) </w:t>
      </w:r>
      <w:r>
        <w:rPr>
          <w:rFonts w:ascii="Calibri" w:cs="Calibri" w:eastAsia="Calibri" w:hAnsi="Calibri"/>
          <w:i/>
          <w:iCs/>
          <w:color w:val="22303F"/>
          <w:sz w:val="19"/>
          <w:szCs w:val="19"/>
        </w:rPr>
        <w:t xml:space="preserve">ISO/IEC 25010:2023 Systems and software engineering - Systems and software Quality Requirements and Evaluation (SQuaRE) - Product quality model</w:t>
      </w:r>
      <w:r>
        <w:rPr>
          <w:rFonts w:ascii="Calibri" w:cs="Calibri" w:eastAsia="Calibri" w:hAnsi="Calibri"/>
          <w:color w:val="22303F"/>
          <w:sz w:val="19"/>
          <w:szCs w:val="19"/>
        </w:rPr>
        <w:t xml:space="preserve">. Geneva: International Organization for Standardization. Available at: https://www.iso.org/standard/78176.html</w:t>
      </w:r>
    </w:p>
    <w:p>
      <w:pPr>
        <w:spacing w:after="110" w:line="250"/>
        <w:ind w:left="480" w:hanging="480"/>
      </w:pPr>
      <w:r>
        <w:rPr>
          <w:rFonts w:ascii="Calibri" w:cs="Calibri" w:eastAsia="Calibri" w:hAnsi="Calibri"/>
          <w:color w:val="22303F"/>
          <w:sz w:val="19"/>
          <w:szCs w:val="19"/>
        </w:rPr>
        <w:t xml:space="preserve">ISO/IEC/IEEE (2017) </w:t>
      </w:r>
      <w:r>
        <w:rPr>
          <w:rFonts w:ascii="Calibri" w:cs="Calibri" w:eastAsia="Calibri" w:hAnsi="Calibri"/>
          <w:i/>
          <w:iCs/>
          <w:color w:val="22303F"/>
          <w:sz w:val="19"/>
          <w:szCs w:val="19"/>
        </w:rPr>
        <w:t xml:space="preserve">ISO/IEC/IEEE 12207:2017 Systems and software engineering - Software life cycle processes</w:t>
      </w:r>
      <w:r>
        <w:rPr>
          <w:rFonts w:ascii="Calibri" w:cs="Calibri" w:eastAsia="Calibri" w:hAnsi="Calibri"/>
          <w:color w:val="22303F"/>
          <w:sz w:val="19"/>
          <w:szCs w:val="19"/>
        </w:rPr>
        <w:t xml:space="preserve">. Geneva: International Organization for Standardization. Available at: https://www.iso.org/standard/63712.html</w:t>
      </w:r>
    </w:p>
    <w:p>
      <w:pPr>
        <w:spacing w:after="110" w:line="250"/>
        <w:ind w:left="480" w:hanging="480"/>
      </w:pPr>
      <w:r>
        <w:rPr>
          <w:rFonts w:ascii="Calibri" w:cs="Calibri" w:eastAsia="Calibri" w:hAnsi="Calibri"/>
          <w:color w:val="22303F"/>
          <w:sz w:val="19"/>
          <w:szCs w:val="19"/>
        </w:rPr>
        <w:t xml:space="preserve">ISO/IEC/IEEE (2018) </w:t>
      </w:r>
      <w:r>
        <w:rPr>
          <w:rFonts w:ascii="Calibri" w:cs="Calibri" w:eastAsia="Calibri" w:hAnsi="Calibri"/>
          <w:i/>
          <w:iCs/>
          <w:color w:val="22303F"/>
          <w:sz w:val="19"/>
          <w:szCs w:val="19"/>
        </w:rPr>
        <w:t xml:space="preserve">ISO/IEC/IEEE 29148:2018 Systems and software engineering - Life cycle processes - Requirements engineering</w:t>
      </w:r>
      <w:r>
        <w:rPr>
          <w:rFonts w:ascii="Calibri" w:cs="Calibri" w:eastAsia="Calibri" w:hAnsi="Calibri"/>
          <w:color w:val="22303F"/>
          <w:sz w:val="19"/>
          <w:szCs w:val="19"/>
        </w:rPr>
        <w:t xml:space="preserve">. Geneva: International Organization for Standardization. Available at: https://www.iso.org/standard/72089.html</w:t>
      </w:r>
    </w:p>
    <w:p>
      <w:pPr>
        <w:spacing w:after="110" w:line="250"/>
        <w:ind w:left="480" w:hanging="480"/>
      </w:pPr>
      <w:r>
        <w:rPr>
          <w:rFonts w:ascii="Calibri" w:cs="Calibri" w:eastAsia="Calibri" w:hAnsi="Calibri"/>
          <w:color w:val="22303F"/>
          <w:sz w:val="19"/>
          <w:szCs w:val="19"/>
        </w:rPr>
        <w:t xml:space="preserve">ISO/IEC/IEEE (2022) </w:t>
      </w:r>
      <w:r>
        <w:rPr>
          <w:rFonts w:ascii="Calibri" w:cs="Calibri" w:eastAsia="Calibri" w:hAnsi="Calibri"/>
          <w:i/>
          <w:iCs/>
          <w:color w:val="22303F"/>
          <w:sz w:val="19"/>
          <w:szCs w:val="19"/>
        </w:rPr>
        <w:t xml:space="preserve">ISO/IEC/IEEE 42010:2022 Software, systems and enterprise - Architecture description</w:t>
      </w:r>
      <w:r>
        <w:rPr>
          <w:rFonts w:ascii="Calibri" w:cs="Calibri" w:eastAsia="Calibri" w:hAnsi="Calibri"/>
          <w:color w:val="22303F"/>
          <w:sz w:val="19"/>
          <w:szCs w:val="19"/>
        </w:rPr>
        <w:t xml:space="preserve">. Geneva: International Organization for Standardization. Available at: https://www.iso.org/standard/74393.html</w:t>
      </w:r>
    </w:p>
    <w:p>
      <w:pPr>
        <w:spacing w:after="110" w:line="250"/>
        <w:ind w:left="480" w:hanging="480"/>
      </w:pPr>
      <w:r>
        <w:rPr>
          <w:rFonts w:ascii="Calibri" w:cs="Calibri" w:eastAsia="Calibri" w:hAnsi="Calibri"/>
          <w:color w:val="22303F"/>
          <w:sz w:val="19"/>
          <w:szCs w:val="19"/>
        </w:rPr>
        <w:t xml:space="preserve">NIST (2022) </w:t>
      </w:r>
      <w:r>
        <w:rPr>
          <w:rFonts w:ascii="Calibri" w:cs="Calibri" w:eastAsia="Calibri" w:hAnsi="Calibri"/>
          <w:i/>
          <w:iCs/>
          <w:color w:val="22303F"/>
          <w:sz w:val="19"/>
          <w:szCs w:val="19"/>
        </w:rPr>
        <w:t xml:space="preserve">SP 800-218: Secure Software Development Framework (SSDF) Version 1.1</w:t>
      </w:r>
      <w:r>
        <w:rPr>
          <w:rFonts w:ascii="Calibri" w:cs="Calibri" w:eastAsia="Calibri" w:hAnsi="Calibri"/>
          <w:color w:val="22303F"/>
          <w:sz w:val="19"/>
          <w:szCs w:val="19"/>
        </w:rPr>
        <w:t xml:space="preserve">. National Institute of Standards and Technology. Available at: https://nvlpubs.nist.gov/nistpubs/specialpublications/nist.sp.800-218.pdf</w:t>
      </w:r>
    </w:p>
    <w:p>
      <w:pPr>
        <w:spacing w:after="110" w:line="250"/>
        <w:ind w:left="480" w:hanging="480"/>
      </w:pPr>
      <w:r>
        <w:rPr>
          <w:rFonts w:ascii="Calibri" w:cs="Calibri" w:eastAsia="Calibri" w:hAnsi="Calibri"/>
          <w:color w:val="22303F"/>
          <w:sz w:val="19"/>
          <w:szCs w:val="19"/>
        </w:rPr>
        <w:t xml:space="preserve">OWASP (2025) </w:t>
      </w:r>
      <w:r>
        <w:rPr>
          <w:rFonts w:ascii="Calibri" w:cs="Calibri" w:eastAsia="Calibri" w:hAnsi="Calibri"/>
          <w:i/>
          <w:iCs/>
          <w:color w:val="22303F"/>
          <w:sz w:val="19"/>
          <w:szCs w:val="19"/>
        </w:rPr>
        <w:t xml:space="preserve">OWASP Top 10:2025 - Introduction</w:t>
      </w:r>
      <w:r>
        <w:rPr>
          <w:rFonts w:ascii="Calibri" w:cs="Calibri" w:eastAsia="Calibri" w:hAnsi="Calibri"/>
          <w:color w:val="22303F"/>
          <w:sz w:val="19"/>
          <w:szCs w:val="19"/>
        </w:rPr>
        <w:t xml:space="preserve">. Open Worldwide Application Security Project. Available at: https://owasp.org/Top10/2025/0x00_2025-Introduction/</w:t>
      </w:r>
    </w:p>
    <w:p>
      <w:pPr>
        <w:spacing w:after="110" w:line="250"/>
        <w:ind w:left="480" w:hanging="480"/>
      </w:pPr>
      <w:r>
        <w:rPr>
          <w:rFonts w:ascii="Calibri" w:cs="Calibri" w:eastAsia="Calibri" w:hAnsi="Calibri"/>
          <w:color w:val="22303F"/>
          <w:sz w:val="19"/>
          <w:szCs w:val="19"/>
        </w:rPr>
        <w:t xml:space="preserve">Republic of South Africa (2013) </w:t>
      </w:r>
      <w:r>
        <w:rPr>
          <w:rFonts w:ascii="Calibri" w:cs="Calibri" w:eastAsia="Calibri" w:hAnsi="Calibri"/>
          <w:i/>
          <w:iCs/>
          <w:color w:val="22303F"/>
          <w:sz w:val="19"/>
          <w:szCs w:val="19"/>
        </w:rPr>
        <w:t xml:space="preserve">Protection of Personal Information Act 4 of 2013</w:t>
      </w:r>
      <w:r>
        <w:rPr>
          <w:rFonts w:ascii="Calibri" w:cs="Calibri" w:eastAsia="Calibri" w:hAnsi="Calibri"/>
          <w:color w:val="22303F"/>
          <w:sz w:val="19"/>
          <w:szCs w:val="19"/>
        </w:rPr>
        <w:t xml:space="preserve">. Pretoria: Government Printer. Available at: https://www.gov.za/documents/protection-personal-information-act</w:t>
      </w:r>
    </w:p>
    <w:p>
      <w:pPr>
        <w:spacing w:after="110" w:line="250"/>
        <w:ind w:left="480" w:hanging="480"/>
      </w:pPr>
      <w:r>
        <w:rPr>
          <w:rFonts w:ascii="Calibri" w:cs="Calibri" w:eastAsia="Calibri" w:hAnsi="Calibri"/>
          <w:color w:val="22303F"/>
          <w:sz w:val="19"/>
          <w:szCs w:val="19"/>
        </w:rPr>
        <w:t xml:space="preserve">Sonatype (2026) </w:t>
      </w:r>
      <w:r>
        <w:rPr>
          <w:rFonts w:ascii="Calibri" w:cs="Calibri" w:eastAsia="Calibri" w:hAnsi="Calibri"/>
          <w:i/>
          <w:iCs/>
          <w:color w:val="22303F"/>
          <w:sz w:val="19"/>
          <w:szCs w:val="19"/>
        </w:rPr>
        <w:t xml:space="preserve">State of the Software Supply Chain Report: the evolving software supply chain attack surface</w:t>
      </w:r>
      <w:r>
        <w:rPr>
          <w:rFonts w:ascii="Calibri" w:cs="Calibri" w:eastAsia="Calibri" w:hAnsi="Calibri"/>
          <w:color w:val="22303F"/>
          <w:sz w:val="19"/>
          <w:szCs w:val="19"/>
        </w:rPr>
        <w:t xml:space="preserve">. Available at: https://www.sonatype.com/state-of-the-software-supply-chain/2026/open-source-malware</w:t>
      </w:r>
    </w:p>
    <w:p>
      <w:pPr>
        <w:spacing w:after="110" w:line="250"/>
        <w:ind w:left="480" w:hanging="480"/>
      </w:pPr>
      <w:r>
        <w:rPr>
          <w:rFonts w:ascii="Calibri" w:cs="Calibri" w:eastAsia="Calibri" w:hAnsi="Calibri"/>
          <w:color w:val="22303F"/>
          <w:sz w:val="19"/>
          <w:szCs w:val="19"/>
        </w:rPr>
        <w:t xml:space="preserve">W3C (2023) </w:t>
      </w:r>
      <w:r>
        <w:rPr>
          <w:rFonts w:ascii="Calibri" w:cs="Calibri" w:eastAsia="Calibri" w:hAnsi="Calibri"/>
          <w:i/>
          <w:iCs/>
          <w:color w:val="22303F"/>
          <w:sz w:val="19"/>
          <w:szCs w:val="19"/>
        </w:rPr>
        <w:t xml:space="preserve">Web Content Accessibility Guidelines (WCAG) 2.2</w:t>
      </w:r>
      <w:r>
        <w:rPr>
          <w:rFonts w:ascii="Calibri" w:cs="Calibri" w:eastAsia="Calibri" w:hAnsi="Calibri"/>
          <w:color w:val="22303F"/>
          <w:sz w:val="19"/>
          <w:szCs w:val="19"/>
        </w:rPr>
        <w:t xml:space="preserve">. W3C Recommendation, 5 October. Available at: https://www.w3.org/TR/WCAG22/</w:t>
      </w:r>
    </w:p>
    <w:sectPr>
      <w:headerReference w:type="default" r:id="rId29"/>
      <w:footerReference w:type="default" r:id="rId30"/>
      <w:pgSz w:w="11906" w:h="16838" w:orient="portrait"/>
      <w:pgMar w:top="1134" w:right="1247" w:bottom="1000"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303F"/>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footer" Target="footer7.xml"/><Relationship Id="rId21" Type="http://schemas.openxmlformats.org/officeDocument/2006/relationships/header" Target="header8.xml"/><Relationship Id="rId22" Type="http://schemas.openxmlformats.org/officeDocument/2006/relationships/footer" Target="footer8.xml"/><Relationship Id="rId23" Type="http://schemas.openxmlformats.org/officeDocument/2006/relationships/header" Target="header9.xml"/><Relationship Id="rId24" Type="http://schemas.openxmlformats.org/officeDocument/2006/relationships/footer" Target="footer9.xml"/><Relationship Id="rId25" Type="http://schemas.openxmlformats.org/officeDocument/2006/relationships/header" Target="header10.xml"/><Relationship Id="rId26" Type="http://schemas.openxmlformats.org/officeDocument/2006/relationships/footer" Target="footer10.xml"/><Relationship Id="rId27" Type="http://schemas.openxmlformats.org/officeDocument/2006/relationships/header" Target="header11.xml"/><Relationship Id="rId28" Type="http://schemas.openxmlformats.org/officeDocument/2006/relationships/footer" Target="footer11.xml"/><Relationship Id="rId29" Type="http://schemas.openxmlformats.org/officeDocument/2006/relationships/header" Target="header12.xml"/><Relationship Id="rId30" Type="http://schemas.openxmlformats.org/officeDocument/2006/relationships/footer" Target="footer12.xml"/><Relationship Id="rId31" Type="http://schemas.openxmlformats.org/officeDocument/2006/relationships/image" Target="media/2769e8c5d1453417bc73cf652cec69f52ed9c778.png"/><Relationship Id="rId32" Type="http://schemas.openxmlformats.org/officeDocument/2006/relationships/image" Target="media/a19f9bdd0f80afd8dda4aee7833fc0b0c64db315.png"/><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CivicConnect PED v1.0 - Engineering Foundation and Requirements Baseline</dc:title>
  <dc:creator>CivicConnect team</dc:creator>
  <cp:lastModifiedBy>Un-named</cp:lastModifiedBy>
  <cp:revision>1</cp:revision>
  <dcterms:created xsi:type="dcterms:W3CDTF">2026-09-03T04:49:51.864Z</dcterms:created>
  <dcterms:modified xsi:type="dcterms:W3CDTF">2026-09-03T04:49:51.865Z</dcterms:modified>
</cp:coreProperties>
</file>

<file path=docProps/custom.xml><?xml version="1.0" encoding="utf-8"?>
<Properties xmlns="http://schemas.openxmlformats.org/officeDocument/2006/custom-properties" xmlns:vt="http://schemas.openxmlformats.org/officeDocument/2006/docPropsVTypes"/>
</file>