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Jean Smit - 600368   |   Tristan Roets - 601764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Not yet baselined: the gate outcome, readiness fields and approvals are recorded in s16 and are still incomplete.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https://github.com/PVY-Smit/civicconnect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Full initial draft: problem and business need, stakeholders, scope baseline, constraints, functional and non-functional requirements with acceptance criteria, RTM, Risk Register, Forward Engineering Considerations, Decision Log and governance. AI-assisted; recorded in s14.2.</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reviewed. Direct commit, predating the branch controls established on 4 September 2026.</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8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Evidence completion: AI Usage Register entries, the GitHub Governance evidence column, forward-consideration to decision links, and correction of the page layout so that no table or figure is truncated.</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against issues #5, #6, #10, #17, #20 and #21.</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9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Submitted to the M1 engineering gate. The gate has not yet been held: the outcome, the readiness fields and the three approvals are recorded in s16 and are still incomplete.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Gate review pending.</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Proposed baseline, not yet accepted</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(Belgium Campus ITversity, 2026b)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(ISO/IEC/IEEE, 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 ISO, 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tbl>
      <w:tblPr>
        <w:tblStyle w:val="ListTable6Colourful"/>
        <w:tblW w:w="0" w:type="auto"/>
        <w:tblLook w:val="04A0" w:firstRow="1" w:lastRow="0" w:firstColumn="1" w:lastColumn="0" w:noHBand="0" w:noVBand="1"/>
      </w:tblPr>
      <w:tblGrid>
        <w:gridCol w:w="1859"/>
        <w:gridCol w:w="7553"/>
      </w:tblGrid>
      <w:tr w:rsidR="00FC0A16" w:rsidRPr="00FC0A16" w14:paraId="6257BBFA" w14:textId="77777777" w:rsidTr="00FC0A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F1155" w14:textId="77777777" w:rsidR="00FC0A16" w:rsidRPr="00FC0A16" w:rsidRDefault="00FC0A16" w:rsidP="00FC0A16">
            <w:r w:rsidRPr="00FC0A16">
              <w:t>Link in the chain</w:t>
            </w:r>
          </w:p>
        </w:tc>
        <w:tc>
          <w:tcPr>
            <w:tcW w:w="0" w:type="auto"/>
            <w:hideMark/>
          </w:tcPr>
          <w:p w14:paraId="0368B0EA" w14:textId="77777777" w:rsidR="00FC0A16" w:rsidRPr="00FC0A16" w:rsidRDefault="00FC0A16" w:rsidP="00FC0A16">
            <w:pPr>
              <w:cnfStyle w:val="100000000000" w:firstRow="1" w:lastRow="0" w:firstColumn="0" w:lastColumn="0" w:oddVBand="0" w:evenVBand="0" w:oddHBand="0" w:evenHBand="0" w:firstRowFirstColumn="0" w:firstRowLastColumn="0" w:lastRowFirstColumn="0" w:lastRowLastColumn="0"/>
            </w:pPr>
            <w:r w:rsidRPr="00FC0A16">
              <w:t>Evidence today</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Stakeholder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STK-03, Coordinator: "reliable prioritisation, clear ownership of every request." STK-04, Management, needs counts it can trust.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Business need</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Master Brief s2: there is weak accountability for changes to request status and actions taken, and no single controlled record of a request's lifecycle.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Requirement</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FR-016: the system shall permit a status change only where the transition is allowed by the request status model (Figure 2) and only by a role authorised for that transition. Must.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Acceptance criteria</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For every ordered pair of statuses, a transition allowed by the model succeeds for an authorised role, and every transition not in the model is refused, including when issued directly to the endpoint.</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Decision it depends on</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The status model itself, baselined as Figure 2 with all twelve transitions and their authorised roles enumerated on the Status Model sheet. Without a closed model there is nothing for the guard to enforce.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Constraint it engages</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CON-04 quality, because the acceptance criterion is only meaningful if every pair in the model is actually exercised; and CON-05 security, because the guard is an authorisation check, not a user-interface convenience.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Risk it mitigates</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RSK-09, the status model proves ambiguous or incomplete after data exists and management reporting becomes unreliable. Probability 2, impact 4, exposure 8, Medium. Owner Darius Mushi.</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Forward consideration</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FEC-02: the model is decided inside M1 rather than deferred, because a status added after go-live cannot be applied to records already closed. It constrains the M2 persistence design and the M3 transition testing.</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Design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M2, tracked as RTM row TR-016 column H: the architecture or state-diagram reference showing where the transition guard is enforced.</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Issue and Pull Request</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M3, RTM columns I and J: the issue and Pull Request building the guard.</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Test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M3, RTM column K: a matrix over all ordered status pairs, including the negative case asserting that a transition absent from the model is refused when issued directly to the endpoint rather than through the interface.</w:t>
            </w:r>
          </w:p>
        </w:tc>
      </w:tr>
      <w:tr w:rsidR="00FC0A16" w:rsidRPr="00FC0A16" w14:paraId="22E7F64D" w14:textId="77777777" w:rsidTr="00FC0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33DC9" w14:textId="77777777" w:rsidR="00FC0A16" w:rsidRPr="00FC0A16" w:rsidRDefault="00FC0A16" w:rsidP="00FC0A16">
            <w:r w:rsidRPr="00FC0A16">
              <w:t xml:space="preserve">Release and acceptance evidence</w:t>
            </w:r>
          </w:p>
        </w:tc>
        <w:tc>
          <w:tcPr>
            <w:tcW w:w="0" w:type="auto"/>
            <w:hideMark/>
          </w:tcPr>
          <w:p w14:paraId="74F62B4C" w14:textId="77777777" w:rsidR="00FC0A16" w:rsidRPr="00FC0A16" w:rsidRDefault="00FC0A16" w:rsidP="00FC0A16">
            <w:pPr>
              <w:cnfStyle w:val="000000100000" w:firstRow="0" w:lastRow="0" w:firstColumn="0" w:lastColumn="0" w:oddVBand="0" w:evenVBand="0" w:oddHBand="1" w:evenHBand="0" w:firstRowFirstColumn="0" w:firstRowLastColumn="0" w:lastRowFirstColumn="0" w:lastRowLastColumn="0"/>
            </w:pPr>
            <w:r w:rsidRPr="00FC0A16">
              <w:t xml:space="preserve">Not yet produced. Due M4, RTM column L: management reporting reconciling against the audit trail, which is what FEC-02 says the model finally has to support.</w:t>
            </w:r>
          </w:p>
        </w:tc>
      </w:tr>
    </w:tbl>
    <w:p>
      <w:pPr>
        <w:pageBreakBefore/>
      </w:pPr>
    </w:p>
    <w:p w14:paraId="6CD811CF" w14:textId="620EC1BC" w:rsidR="00FC0A16" w:rsidRPr="00FC0A16" w:rsidRDefault="00FC0A16" w:rsidP="00FC0A16">
      <w:r w:rsidRPr="00FC0A16">
        <w:t>At M2, column H (Design ref) will hold the architecture or state-diagram reference showing where FR-016's transition guard is implemented. At M3, columns I</w:t>
      </w:r>
      <w:r>
        <w:t xml:space="preserve"> - </w:t>
      </w:r>
      <w:r w:rsidRPr="00FC0A16">
        <w:t>K will hold the issue/PR building the guard logic, its implementation reference, and the automated test reference proving the acceptance criteria</w:t>
      </w:r>
      <w:r>
        <w:t xml:space="preserve">, </w:t>
      </w:r>
      <w:r w:rsidRPr="00FC0A16">
        <w:t xml:space="preserve"> including the direct-to-endpoint negative case</w:t>
      </w:r>
      <w:r>
        <w:t xml:space="preserve">, </w:t>
      </w:r>
      <w:r w:rsidRPr="00FC0A16">
        <w:t xml:space="preserve"> actually passes.</w:t>
      </w: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Materialised - active (review delay recorded 9 September 2026)</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Materialised - active (member availability affected M1 review capacity on 9 September 2026)</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controlled engineering artefact cannot be safely reproduced or corrected because only the rendered output is retained.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Generated diagrams or similar artefacts are committed without their editable source or generation script.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editable source or generation scripts alongside generated artefacts, and regenerate and compare outputs against the authoritative register.</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the limitation, reconstruct the source, and independently verify the replacement against the controlled evidence before accepting it.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Materialised - Figure 2, issue #27</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Every issue raised on the project is placed on the board, and each controlled change references its issue from the branch name and from the Pull Request that implements it. No fixed count is stated here: the number changes whenever an issue is raised, and evidence that goes stale on its own is weaker than evidence that describes the control.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The control operating, not merely configured: review of #18 found the registers-updated checklist inverted against the actual change, which was corrected in response (https://github.com/PVY-Smit/civicconnect/pull/18#issuecomment-5583144236); the same review found that the Figure 2 label defect was recorded in a register row but not tracked as work, and it was raised as issue #27 (https://github.com/PVY-Smit/civicconnect/pull/18#issuecomment-5583171255). Approval carrying reasoning rather than a bare tick: https://github.com/PVY-Smit/civicconnect/pull/19#pullrequestreview-5140293911.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2026-09-09</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Tristan Roets</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ChatGPT (OpenAI, GPT-5.6 Sol)</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M1 GitHub pull requests and preparing Risk Register and Forward Engineering Consideration evidence</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Assisted with identifying review blockers, checking traceability and governance issues, drafting review wording, and structuring Risk Register and FEC notes.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Compared the recommendations against the live GitHub pull requests, current main branch, CONTRIBUTING.md, issue requirements, and the controlled workbook and PED before accepting or revising them.</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Some suggestions were based on incomplete or outdated repository state. These were rechecked against the live repository, corrected where necessary, and unsupported claims were rejected.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recorded as issue #27 and carried as a known limitation in s16.1 rather than corrected, since the diagram source is not held in the repository.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Jean Smit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Tristan Roets</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Darius Mushi</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spacing w:after="85" w:line="264"/>
        <w:ind w:left="420" w:hanging="420"/>
      </w:pPr>
      <w:r>
        <w:rPr>
          <w:rFonts w:ascii="Calibri" w:cs="Calibri" w:eastAsia="Calibri" w:hAnsi="Calibri"/>
          <w:b/>
          <w:bCs/>
          <w:color w:val="22303F"/>
          <w:sz w:val="20"/>
          <w:szCs w:val="20"/>
        </w:rPr>
        <w:t xml:space="preserve">5.  Figure 2 carries a label placement defect. The single New to In Progress arc shows two stacked labels while the Assigned self-loop shows none, so the reassignment label reads against the wrong transition and implies the wrong authorised role. The baselined status model on the Status Model sheet is correct and is the authority; only the rendered figure is wrong. It is recorded as issue #27 rather than corrected before the gate, because the diagram source is not held in the repository and rebuilding it the day before sign-off carries more risk than the defect does.</w:t>
      </w:r>
      <w:r>
        <w:rPr>
          <w:rFonts w:ascii="Calibri" w:cs="Calibri" w:eastAsia="Calibri" w:hAnsi="Calibri"/>
          <w:color w:val="22303F"/>
          <w:sz w:val="20"/>
          <w:szCs w:val="20"/>
        </w:rPr>
        <w:t xml:space="preserve"/>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