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Jean Smit - 600368   |   Tristan Roets - 601764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Not yet baselined: the gate outcome, readiness fields and approvals are recorded in s16 and are still incomplete.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https://github.com/PVY-Smit/civicconnect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(Belgium Campus ITversity, 2026b)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(ISO/IEC/IEEE, 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 ISO, 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tbl>
      <w:tblPr>
        <w:tblStyle w:val="ListTable6Colourful"/>
        <w:tblW w:w="0" w:type="auto"/>
        <w:tblLook w:val="04A0" w:firstRow="1" w:lastRow="0" w:firstColumn="1" w:lastColumn="0" w:noHBand="0" w:noVBand="1"/>
      </w:tblPr>
      <w:tblGrid>
        <w:gridCol w:w="1859"/>
        <w:gridCol w:w="7553"/>
      </w:tblGrid>
      <w:tr w:rsidR="00FC0A16" w:rsidRPr="00FC0A16" w14:paraId="6257BBFA" w14:textId="77777777" w:rsidTr="00FC0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1155" w14:textId="77777777" w:rsidR="00FC0A16" w:rsidRPr="00FC0A16" w:rsidRDefault="00FC0A16" w:rsidP="00FC0A16">
            <w:r w:rsidRPr="00FC0A16">
              <w:t>Link in the chain</w:t>
            </w:r>
          </w:p>
        </w:tc>
        <w:tc>
          <w:tcPr>
            <w:tcW w:w="0" w:type="auto"/>
            <w:hideMark/>
          </w:tcPr>
          <w:p w14:paraId="0368B0EA" w14:textId="77777777" w:rsidR="00FC0A16" w:rsidRPr="00FC0A16" w:rsidRDefault="00FC0A16" w:rsidP="00FC0A16">
            <w:pPr>
              <w:cnfStyle w:val="100000000000" w:firstRow="1" w:lastRow="0" w:firstColumn="0" w:lastColumn="0" w:oddVBand="0" w:evenVBand="0" w:oddHBand="0" w:evenHBand="0" w:firstRowFirstColumn="0" w:firstRowLastColumn="0" w:lastRowFirstColumn="0" w:lastRowLastColumn="0"/>
            </w:pPr>
            <w:r w:rsidRPr="00FC0A16">
              <w:t>Evidence today</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Stakeholder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STK-03, Coordinator: "reliable prioritisation, clear ownership of every request." STK-04, Management, needs counts it can trust.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Business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Master Brief s2: there is weak accountability for changes to request status and actions taken, and no single controlled record of a request's lifecycle.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Requirement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FR-016: the system shall permit a status change only where the transition is allowed by the request status model (Figure 2) and only by a role authorised for that transition. Must.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Acceptance criteria</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For every ordered pair of statuses, a transition allowed by the model succeeds for an authorised role, and every transition not in the model is refused, including when issued directly to the endpoint.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Decision it depends 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The status model itself, baselined as Figure 2 with all twelve transitions and their authorised roles enumerated on the Status Model sheet. Without a closed model there is nothing for the guard to enforce.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Constraint it engages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CON-04 quality, because the acceptance criterion is only meaningful if every pair in the model is actually exercised; and CON-05 security, because the guard is an authorisation check, not a user-interface convenience.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Risk it mitigates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RSK-09, the status model proves ambiguous or incomplete after data exists and management reporting becomes unreliable. Probability 2, impact 4, exposure 8, Medium. Owner Darius Mushi.</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Forward consideration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FEC-02: the model is decided inside M1 rather than deferred, because a status added after go-live cannot be applied to records already closed. It constrains the M2 persistence design and the M3 transition testing.</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Design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M2, tracked as RTM row TR-016 column H: the architecture or state-diagram reference showing where the transition guard is enforced.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Issue and Pull Request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columns I and J: the issue and Pull Request building the guard.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Test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 K: a matrix over all ordered status pairs, including the negative case asserting that a transition absent from the model is refused when issued directly to the endpoint rather than through the interface.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Release and acceptance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M4, RTM column L: management reporting reconciling against the audit trail, which is what FEC-02 says the model finally has to support.</w:t>
            </w:r>
          </w:p>
        </w:tc>
      </w:tr>
    </w:tbl>
    <w:p>
      <w:pPr>
        <w:pageBreakBefore/>
      </w:pPr>
    </w:p>
    <w:p w14:paraId="6CD811CF" w14:textId="620EC1BC" w:rsidR="00FC0A16" w:rsidRPr="00FC0A16" w:rsidRDefault="00FC0A16" w:rsidP="00FC0A16">
      <w:r w:rsidRPr="00FC0A16">
        <w:t>At M2, column H (Design ref) will hold the architecture or state-diagram reference showing where FR-016's transition guard is implemented. At M3, columns I</w:t>
      </w:r>
      <w:r>
        <w:t xml:space="preserve"> - </w:t>
      </w:r>
      <w:r w:rsidRPr="00FC0A16">
        <w:t>K will hold the issue/PR building the guard logic, its implementation reference, and the automated test reference proving the acceptance criteria</w:t>
      </w:r>
      <w:r>
        <w:t xml:space="preserve">, </w:t>
      </w:r>
      <w:r w:rsidRPr="00FC0A16">
        <w:t xml:space="preserve"> including the direct-to-endpoint negative case</w:t>
      </w:r>
      <w:r>
        <w:t xml:space="preserve">, </w:t>
      </w:r>
      <w:r w:rsidRPr="00FC0A16">
        <w:t xml:space="preserve"> actually passes.</w:t>
      </w: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