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sz w:val="46"/>
          <w:szCs w:val="46"/>
        </w:rPr>
      </w:pPr>
      <w:bookmarkStart w:colFirst="0" w:colLast="0" w:name="_fq0d1ghvzso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Atividade UX - 28/04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Affordance: Ao entrar o usuário já se depara com diversos padrões de navegador, barra de pesquisa, botões de pesquisa ou acessibilidade do microfone, a logo do site, a seta da barra móvel. Isto já direciona o cliente para as utilizações básicas que sites do gênero têm. A barra de pesquisa está extremamente centralizada e o placeholder “Search…” estimulando </w:t>
      </w:r>
      <w:r w:rsidDel="00000000" w:rsidR="00000000" w:rsidRPr="00000000">
        <w:rPr>
          <w:rtl w:val="0"/>
        </w:rPr>
        <w:t xml:space="preserve">à pesquisa.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IHC: O usuário interage com a aba de anúncios/notícias, a medida que ele visualiza, o site poderá captar suas preferências e entregar algo mais chamativo ao cliente, assim não precisará gastar tempo procurando algo de seu interesse.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Metáfora: Temos os mais básicos como o microfone para pesquisa por voz ou o próprio botão de pesquisa com uma lupa. O site iniciou com a ideia de lua ou eclipse, mas evoluiu para maré e mares, algo fluido e móvel, como “navegar”. Quando o cliente coloca o mouse sobre o botão de pesquisa, ele emite uma onda.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Arquitetura de informação: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42620" cy="223321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2620" cy="223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4948238" cy="20669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Designer: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612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509838" cy="140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28950" cy="14668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